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492E" w14:textId="77777777" w:rsidR="00000000" w:rsidRDefault="00FB3906">
      <w:pPr>
        <w:spacing w:line="240" w:lineRule="auto"/>
        <w:rPr>
          <w:rFonts w:cs="David"/>
          <w:b/>
          <w:bCs/>
          <w:sz w:val="24"/>
          <w:u w:val="single"/>
          <w:rtl/>
        </w:rPr>
      </w:pPr>
      <w:bookmarkStart w:id="0" w:name="_GoBack"/>
      <w:bookmarkEnd w:id="0"/>
      <w:r>
        <w:rPr>
          <w:rFonts w:cs="David"/>
          <w:b/>
          <w:bCs/>
          <w:sz w:val="24"/>
          <w:u w:val="single"/>
          <w:rtl/>
        </w:rPr>
        <w:t>בית הדין להגבלים עסקיים</w:t>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b/>
          <w:bCs/>
          <w:sz w:val="24"/>
          <w:u w:val="single"/>
          <w:rtl/>
        </w:rPr>
        <w:t>בקשה 63/00</w:t>
      </w:r>
    </w:p>
    <w:p w14:paraId="47A2189E" w14:textId="77777777" w:rsidR="00000000" w:rsidRDefault="00FB3906">
      <w:pPr>
        <w:spacing w:line="240" w:lineRule="auto"/>
        <w:rPr>
          <w:rFonts w:cs="David"/>
          <w:sz w:val="24"/>
          <w:rtl/>
        </w:rPr>
      </w:pPr>
      <w:r>
        <w:rPr>
          <w:rFonts w:cs="David"/>
          <w:sz w:val="24"/>
          <w:rtl/>
        </w:rPr>
        <w:t>לפני כבוד השופט י. עדיאל- המשנה לאב בית הדין</w:t>
      </w:r>
      <w:r>
        <w:rPr>
          <w:rFonts w:cs="David"/>
          <w:sz w:val="24"/>
          <w:rtl/>
        </w:rPr>
        <w:tab/>
      </w:r>
      <w:r>
        <w:rPr>
          <w:rFonts w:cs="David"/>
          <w:sz w:val="24"/>
          <w:rtl/>
        </w:rPr>
        <w:tab/>
      </w:r>
      <w:r>
        <w:rPr>
          <w:rFonts w:cs="David"/>
          <w:sz w:val="24"/>
          <w:rtl/>
        </w:rPr>
        <w:tab/>
      </w:r>
      <w:r>
        <w:rPr>
          <w:rFonts w:cs="David"/>
          <w:sz w:val="24"/>
          <w:rtl/>
        </w:rPr>
        <w:tab/>
        <w:t>ה"ע 3574/00</w:t>
      </w:r>
    </w:p>
    <w:p w14:paraId="30973400" w14:textId="77777777" w:rsidR="00000000" w:rsidRDefault="00FB3906">
      <w:pPr>
        <w:spacing w:line="240" w:lineRule="auto"/>
        <w:rPr>
          <w:rFonts w:cs="David"/>
          <w:sz w:val="24"/>
          <w:rtl/>
        </w:rPr>
      </w:pPr>
      <w:r>
        <w:rPr>
          <w:rFonts w:cs="David"/>
          <w:sz w:val="24"/>
          <w:rtl/>
        </w:rPr>
        <w:t xml:space="preserve">        פרופ' אמיר ברנע</w:t>
      </w:r>
      <w:r>
        <w:rPr>
          <w:rFonts w:cs="David"/>
          <w:sz w:val="24"/>
          <w:rtl/>
        </w:rPr>
        <w:tab/>
        <w:t xml:space="preserve">  - חבר</w:t>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t xml:space="preserve">ה"ע 3666/00 </w:t>
      </w:r>
    </w:p>
    <w:p w14:paraId="33B2AC3B" w14:textId="77777777" w:rsidR="00000000" w:rsidRDefault="00FB3906">
      <w:pPr>
        <w:spacing w:line="240" w:lineRule="auto"/>
        <w:rPr>
          <w:rFonts w:cs="David"/>
          <w:sz w:val="24"/>
          <w:rtl/>
        </w:rPr>
      </w:pPr>
      <w:r>
        <w:rPr>
          <w:rFonts w:cs="David"/>
          <w:sz w:val="24"/>
          <w:rtl/>
        </w:rPr>
        <w:t xml:space="preserve">        עו"ד ירון</w:t>
      </w:r>
      <w:r>
        <w:rPr>
          <w:rFonts w:cs="David"/>
          <w:sz w:val="24"/>
          <w:rtl/>
        </w:rPr>
        <w:t xml:space="preserve"> קידר           - חבר </w:t>
      </w:r>
    </w:p>
    <w:p w14:paraId="6886312B" w14:textId="77777777" w:rsidR="00000000" w:rsidRDefault="00FB3906">
      <w:pPr>
        <w:spacing w:line="240" w:lineRule="auto"/>
        <w:rPr>
          <w:rFonts w:cs="David"/>
          <w:sz w:val="24"/>
          <w:rtl/>
        </w:rPr>
      </w:pPr>
    </w:p>
    <w:p w14:paraId="7F192160" w14:textId="77777777" w:rsidR="00000000" w:rsidRDefault="00FB3906">
      <w:pPr>
        <w:pStyle w:val="2"/>
        <w:spacing w:line="240" w:lineRule="auto"/>
        <w:rPr>
          <w:rFonts w:cs="David"/>
          <w:sz w:val="24"/>
          <w:rtl/>
        </w:rPr>
      </w:pPr>
      <w:r>
        <w:rPr>
          <w:rFonts w:cs="David"/>
          <w:sz w:val="24"/>
          <w:rtl/>
        </w:rPr>
        <w:t>בעניין:</w:t>
      </w:r>
      <w:r>
        <w:rPr>
          <w:rFonts w:cs="David"/>
          <w:sz w:val="24"/>
          <w:rtl/>
        </w:rPr>
        <w:tab/>
      </w:r>
      <w:r>
        <w:rPr>
          <w:rFonts w:cs="David"/>
          <w:sz w:val="24"/>
          <w:rtl/>
        </w:rPr>
        <w:tab/>
        <w:t xml:space="preserve">כאן תקשורת מקומית בע"מ ואח' </w:t>
      </w:r>
    </w:p>
    <w:p w14:paraId="02224927" w14:textId="77777777" w:rsidR="00000000" w:rsidRDefault="00FB3906">
      <w:pPr>
        <w:spacing w:line="240" w:lineRule="auto"/>
        <w:rPr>
          <w:rFonts w:cs="David"/>
          <w:sz w:val="24"/>
          <w:rtl/>
        </w:rPr>
      </w:pPr>
      <w:r>
        <w:rPr>
          <w:rFonts w:cs="David"/>
          <w:b/>
          <w:bCs/>
          <w:sz w:val="24"/>
          <w:rtl/>
        </w:rPr>
        <w:tab/>
      </w:r>
      <w:r>
        <w:rPr>
          <w:rFonts w:cs="David"/>
          <w:b/>
          <w:bCs/>
          <w:sz w:val="24"/>
          <w:rtl/>
        </w:rPr>
        <w:tab/>
      </w:r>
      <w:r>
        <w:rPr>
          <w:rFonts w:cs="David"/>
          <w:sz w:val="24"/>
          <w:rtl/>
        </w:rPr>
        <w:t>כולן ע"י ב"כ עו"ד ארדינסט בן נתן ושות'</w:t>
      </w:r>
      <w:r>
        <w:rPr>
          <w:rFonts w:cs="David"/>
          <w:sz w:val="24"/>
          <w:rtl/>
        </w:rPr>
        <w:tab/>
      </w:r>
      <w:r>
        <w:rPr>
          <w:rFonts w:cs="David"/>
          <w:sz w:val="24"/>
          <w:rtl/>
        </w:rPr>
        <w:tab/>
      </w:r>
      <w:r>
        <w:rPr>
          <w:rFonts w:cs="David"/>
          <w:sz w:val="24"/>
          <w:rtl/>
        </w:rPr>
        <w:tab/>
      </w:r>
      <w:r>
        <w:rPr>
          <w:rFonts w:cs="David"/>
          <w:b/>
          <w:bCs/>
          <w:sz w:val="24"/>
          <w:u w:val="single"/>
          <w:rtl/>
        </w:rPr>
        <w:t>המבקשות</w:t>
      </w:r>
    </w:p>
    <w:p w14:paraId="785D1895" w14:textId="77777777" w:rsidR="00000000" w:rsidRDefault="00FB3906">
      <w:pPr>
        <w:spacing w:line="240" w:lineRule="auto"/>
        <w:rPr>
          <w:rFonts w:cs="David"/>
          <w:b/>
          <w:bCs/>
          <w:sz w:val="24"/>
          <w:rtl/>
        </w:rPr>
      </w:pPr>
    </w:p>
    <w:p w14:paraId="26850DE9" w14:textId="77777777" w:rsidR="00000000" w:rsidRDefault="00FB3906">
      <w:pPr>
        <w:spacing w:line="240" w:lineRule="auto"/>
        <w:rPr>
          <w:rFonts w:cs="David"/>
          <w:sz w:val="24"/>
          <w:rtl/>
        </w:rPr>
      </w:pPr>
      <w:r>
        <w:rPr>
          <w:rFonts w:cs="David"/>
          <w:b/>
          <w:bCs/>
          <w:sz w:val="24"/>
          <w:rtl/>
        </w:rPr>
        <w:t>ובעניין:</w:t>
      </w:r>
      <w:r>
        <w:rPr>
          <w:rFonts w:cs="David"/>
          <w:b/>
          <w:bCs/>
          <w:sz w:val="24"/>
          <w:rtl/>
        </w:rPr>
        <w:tab/>
      </w:r>
      <w:r>
        <w:rPr>
          <w:rFonts w:cs="David"/>
          <w:b/>
          <w:bCs/>
          <w:sz w:val="24"/>
          <w:rtl/>
        </w:rPr>
        <w:tab/>
        <w:t>1. הפדרציה הישראלית לתקליטים וקלטות בע"מ ואח'</w:t>
      </w:r>
      <w:r>
        <w:rPr>
          <w:rFonts w:cs="David"/>
          <w:b/>
          <w:bCs/>
          <w:sz w:val="24"/>
          <w:rtl/>
        </w:rPr>
        <w:tab/>
      </w:r>
    </w:p>
    <w:p w14:paraId="59735EE9" w14:textId="77777777" w:rsidR="00000000" w:rsidRDefault="00FB3906">
      <w:pPr>
        <w:spacing w:line="240" w:lineRule="auto"/>
        <w:rPr>
          <w:rFonts w:cs="David"/>
          <w:b/>
          <w:bCs/>
          <w:sz w:val="24"/>
          <w:u w:val="single"/>
          <w:rtl/>
        </w:rPr>
      </w:pPr>
      <w:r>
        <w:rPr>
          <w:rFonts w:cs="David"/>
          <w:sz w:val="24"/>
          <w:rtl/>
        </w:rPr>
        <w:tab/>
      </w:r>
      <w:r>
        <w:rPr>
          <w:rFonts w:cs="David"/>
          <w:sz w:val="24"/>
          <w:rtl/>
        </w:rPr>
        <w:tab/>
        <w:t>כולן ע"י ב"כ עו"ד ד"ר שרה פרזנטי ואח'</w:t>
      </w:r>
      <w:r>
        <w:rPr>
          <w:rFonts w:cs="David"/>
          <w:sz w:val="24"/>
          <w:rtl/>
        </w:rPr>
        <w:tab/>
      </w:r>
      <w:r>
        <w:rPr>
          <w:rFonts w:cs="David"/>
          <w:sz w:val="24"/>
          <w:rtl/>
        </w:rPr>
        <w:tab/>
      </w:r>
      <w:r>
        <w:rPr>
          <w:rFonts w:cs="David"/>
          <w:sz w:val="24"/>
          <w:rtl/>
        </w:rPr>
        <w:tab/>
      </w:r>
      <w:r>
        <w:rPr>
          <w:rFonts w:cs="David"/>
          <w:b/>
          <w:bCs/>
          <w:sz w:val="24"/>
          <w:u w:val="single"/>
          <w:rtl/>
        </w:rPr>
        <w:t>המשיבות</w:t>
      </w:r>
    </w:p>
    <w:p w14:paraId="3A0D047C" w14:textId="77777777" w:rsidR="00000000" w:rsidRDefault="00FB3906">
      <w:pPr>
        <w:pStyle w:val="2"/>
        <w:spacing w:line="240" w:lineRule="auto"/>
        <w:rPr>
          <w:rFonts w:cs="David"/>
          <w:sz w:val="24"/>
          <w:rtl/>
        </w:rPr>
      </w:pP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t xml:space="preserve">(המבקשות בה"ע </w:t>
      </w:r>
    </w:p>
    <w:p w14:paraId="2071DBD8" w14:textId="77777777" w:rsidR="00000000" w:rsidRDefault="00FB3906">
      <w:pPr>
        <w:spacing w:line="240" w:lineRule="auto"/>
        <w:rPr>
          <w:rFonts w:cs="David"/>
          <w:b/>
          <w:bCs/>
          <w:sz w:val="24"/>
          <w:rtl/>
        </w:rPr>
      </w:pP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t>35</w:t>
      </w:r>
      <w:r>
        <w:rPr>
          <w:rFonts w:cs="David"/>
          <w:b/>
          <w:bCs/>
          <w:sz w:val="24"/>
          <w:rtl/>
        </w:rPr>
        <w:t>74/00)</w:t>
      </w:r>
    </w:p>
    <w:p w14:paraId="4B0BBC4B" w14:textId="77777777" w:rsidR="00000000" w:rsidRDefault="00FB3906">
      <w:pPr>
        <w:pStyle w:val="2"/>
        <w:spacing w:line="240" w:lineRule="auto"/>
        <w:rPr>
          <w:rFonts w:cs="David"/>
          <w:sz w:val="24"/>
          <w:rtl/>
        </w:rPr>
      </w:pPr>
      <w:r>
        <w:rPr>
          <w:rFonts w:cs="David"/>
          <w:sz w:val="24"/>
          <w:rtl/>
        </w:rPr>
        <w:t>ובעניין:</w:t>
      </w:r>
      <w:r>
        <w:rPr>
          <w:rFonts w:cs="David"/>
          <w:sz w:val="24"/>
          <w:rtl/>
        </w:rPr>
        <w:tab/>
      </w:r>
      <w:r>
        <w:rPr>
          <w:rFonts w:cs="David"/>
          <w:sz w:val="24"/>
          <w:rtl/>
        </w:rPr>
        <w:tab/>
        <w:t xml:space="preserve">1. הפדרציה למוסיקה ישראלית וים תיכונית בע"מ ואח' </w:t>
      </w:r>
      <w:r>
        <w:rPr>
          <w:rFonts w:cs="David"/>
          <w:sz w:val="24"/>
          <w:rtl/>
        </w:rPr>
        <w:tab/>
      </w:r>
    </w:p>
    <w:p w14:paraId="1C436662" w14:textId="77777777" w:rsidR="00000000" w:rsidRDefault="00FB3906">
      <w:pPr>
        <w:spacing w:line="240" w:lineRule="auto"/>
        <w:rPr>
          <w:rFonts w:cs="David"/>
          <w:b/>
          <w:bCs/>
          <w:sz w:val="24"/>
          <w:u w:val="single"/>
          <w:rtl/>
        </w:rPr>
      </w:pPr>
      <w:r>
        <w:rPr>
          <w:rFonts w:cs="David"/>
          <w:b/>
          <w:bCs/>
          <w:sz w:val="24"/>
          <w:rtl/>
        </w:rPr>
        <w:tab/>
      </w:r>
      <w:r>
        <w:rPr>
          <w:rFonts w:cs="David"/>
          <w:b/>
          <w:bCs/>
          <w:sz w:val="24"/>
          <w:rtl/>
        </w:rPr>
        <w:tab/>
      </w:r>
      <w:r>
        <w:rPr>
          <w:rFonts w:cs="David"/>
          <w:sz w:val="24"/>
          <w:rtl/>
        </w:rPr>
        <w:t>ע"י ב"כ עו"ד יוחאי חי</w:t>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b/>
          <w:bCs/>
          <w:sz w:val="24"/>
          <w:u w:val="single"/>
          <w:rtl/>
        </w:rPr>
        <w:t>המשיבים</w:t>
      </w:r>
    </w:p>
    <w:p w14:paraId="60BB8EF9" w14:textId="77777777" w:rsidR="00000000" w:rsidRDefault="00FB3906">
      <w:pPr>
        <w:spacing w:line="240" w:lineRule="auto"/>
        <w:rPr>
          <w:rFonts w:cs="David"/>
          <w:b/>
          <w:bCs/>
          <w:sz w:val="24"/>
          <w:rtl/>
        </w:rPr>
      </w:pP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b/>
          <w:bCs/>
          <w:sz w:val="24"/>
          <w:rtl/>
        </w:rPr>
        <w:t>(המשיבים בה"ע</w:t>
      </w:r>
    </w:p>
    <w:p w14:paraId="1668CA57" w14:textId="77777777" w:rsidR="00000000" w:rsidRDefault="00FB3906">
      <w:pPr>
        <w:spacing w:line="240" w:lineRule="auto"/>
        <w:ind w:firstLine="720"/>
        <w:rPr>
          <w:rFonts w:cs="David"/>
          <w:b/>
          <w:bCs/>
          <w:sz w:val="24"/>
          <w:rtl/>
        </w:rPr>
      </w:pP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t>3666/00)</w:t>
      </w:r>
    </w:p>
    <w:p w14:paraId="4D2723F3" w14:textId="77777777" w:rsidR="00000000" w:rsidRDefault="00FB3906">
      <w:pPr>
        <w:spacing w:line="240" w:lineRule="auto"/>
        <w:ind w:left="1440"/>
        <w:rPr>
          <w:rFonts w:cs="David"/>
          <w:b/>
          <w:bCs/>
          <w:sz w:val="24"/>
          <w:rtl/>
        </w:rPr>
      </w:pPr>
    </w:p>
    <w:p w14:paraId="719B11E4" w14:textId="77777777" w:rsidR="00000000" w:rsidRDefault="00FB3906">
      <w:pPr>
        <w:spacing w:line="240" w:lineRule="auto"/>
        <w:ind w:left="1440"/>
        <w:rPr>
          <w:rFonts w:cs="David"/>
          <w:b/>
          <w:bCs/>
          <w:sz w:val="24"/>
          <w:rtl/>
        </w:rPr>
      </w:pPr>
      <w:r>
        <w:rPr>
          <w:rFonts w:cs="David"/>
          <w:b/>
          <w:bCs/>
          <w:sz w:val="24"/>
          <w:rtl/>
        </w:rPr>
        <w:t xml:space="preserve">- נ ג ד – </w:t>
      </w:r>
    </w:p>
    <w:p w14:paraId="650A5841" w14:textId="77777777" w:rsidR="00000000" w:rsidRDefault="00FB3906">
      <w:pPr>
        <w:spacing w:line="240" w:lineRule="auto"/>
        <w:rPr>
          <w:rFonts w:cs="David"/>
          <w:b/>
          <w:bCs/>
          <w:sz w:val="24"/>
          <w:rtl/>
        </w:rPr>
      </w:pPr>
    </w:p>
    <w:p w14:paraId="58E89C57" w14:textId="77777777" w:rsidR="00000000" w:rsidRDefault="00FB3906">
      <w:pPr>
        <w:pStyle w:val="9"/>
        <w:spacing w:line="240" w:lineRule="auto"/>
        <w:rPr>
          <w:rFonts w:cs="David"/>
          <w:sz w:val="24"/>
          <w:rtl/>
        </w:rPr>
      </w:pPr>
      <w:r>
        <w:rPr>
          <w:rFonts w:cs="David"/>
          <w:sz w:val="24"/>
          <w:rtl/>
        </w:rPr>
        <w:t>איגוד לשכות המסחר</w:t>
      </w:r>
    </w:p>
    <w:p w14:paraId="6EC29091" w14:textId="77777777" w:rsidR="00000000" w:rsidRDefault="00FB3906">
      <w:pPr>
        <w:spacing w:line="240" w:lineRule="auto"/>
        <w:ind w:left="1440"/>
        <w:rPr>
          <w:rFonts w:cs="David"/>
          <w:sz w:val="24"/>
          <w:rtl/>
        </w:rPr>
      </w:pPr>
      <w:r>
        <w:rPr>
          <w:rFonts w:cs="David"/>
          <w:sz w:val="24"/>
          <w:rtl/>
        </w:rPr>
        <w:t>ע"י ב"כ עוה"ד פישר, בכר, חן ושות'</w:t>
      </w:r>
    </w:p>
    <w:p w14:paraId="3930F826" w14:textId="77777777" w:rsidR="00000000" w:rsidRDefault="00FB3906">
      <w:pPr>
        <w:numPr>
          <w:ilvl w:val="0"/>
          <w:numId w:val="45"/>
        </w:numPr>
        <w:spacing w:line="240" w:lineRule="auto"/>
        <w:rPr>
          <w:rFonts w:cs="David"/>
          <w:b/>
          <w:bCs/>
          <w:sz w:val="24"/>
          <w:rtl/>
        </w:rPr>
      </w:pPr>
      <w:r>
        <w:rPr>
          <w:rFonts w:cs="David"/>
          <w:b/>
          <w:bCs/>
          <w:sz w:val="24"/>
          <w:rtl/>
        </w:rPr>
        <w:t>התאחדות בעלי אולמות אירועים בישראל</w:t>
      </w:r>
    </w:p>
    <w:p w14:paraId="26AC8BD2" w14:textId="77777777" w:rsidR="00000000" w:rsidRDefault="00FB3906">
      <w:pPr>
        <w:spacing w:line="240" w:lineRule="auto"/>
        <w:ind w:left="1440"/>
        <w:rPr>
          <w:rFonts w:cs="David"/>
          <w:sz w:val="24"/>
          <w:rtl/>
        </w:rPr>
      </w:pPr>
      <w:r>
        <w:rPr>
          <w:rFonts w:cs="David"/>
          <w:sz w:val="24"/>
          <w:rtl/>
        </w:rPr>
        <w:t>ע"י ב</w:t>
      </w:r>
      <w:r>
        <w:rPr>
          <w:rFonts w:cs="David"/>
          <w:sz w:val="24"/>
          <w:rtl/>
        </w:rPr>
        <w:t>"כ עוה"ד ליאור חלימי</w:t>
      </w:r>
    </w:p>
    <w:p w14:paraId="447CABBD" w14:textId="77777777" w:rsidR="00000000" w:rsidRDefault="00FB3906">
      <w:pPr>
        <w:numPr>
          <w:ilvl w:val="0"/>
          <w:numId w:val="45"/>
        </w:numPr>
        <w:spacing w:line="240" w:lineRule="auto"/>
        <w:rPr>
          <w:rFonts w:cs="David"/>
          <w:b/>
          <w:bCs/>
          <w:sz w:val="24"/>
          <w:rtl/>
        </w:rPr>
      </w:pPr>
      <w:r>
        <w:rPr>
          <w:rFonts w:cs="David"/>
          <w:b/>
          <w:bCs/>
          <w:sz w:val="24"/>
          <w:rtl/>
        </w:rPr>
        <w:t>התאחדות המלונות בישראל</w:t>
      </w:r>
    </w:p>
    <w:p w14:paraId="7DD55131" w14:textId="77777777" w:rsidR="00000000" w:rsidRDefault="00FB3906">
      <w:pPr>
        <w:spacing w:line="240" w:lineRule="auto"/>
        <w:ind w:left="1440"/>
        <w:rPr>
          <w:rFonts w:cs="David"/>
          <w:sz w:val="24"/>
          <w:rtl/>
        </w:rPr>
      </w:pPr>
      <w:r>
        <w:rPr>
          <w:rFonts w:cs="David"/>
          <w:sz w:val="24"/>
          <w:rtl/>
        </w:rPr>
        <w:t>ע"י ב"כ עוה"ד פזית דן</w:t>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b/>
          <w:bCs/>
          <w:sz w:val="24"/>
          <w:u w:val="single"/>
          <w:rtl/>
        </w:rPr>
        <w:t>המתנגדים</w:t>
      </w:r>
    </w:p>
    <w:p w14:paraId="7B98B557" w14:textId="77777777" w:rsidR="00000000" w:rsidRDefault="00FB3906">
      <w:pPr>
        <w:spacing w:line="240" w:lineRule="auto"/>
        <w:ind w:left="1440"/>
        <w:rPr>
          <w:rFonts w:cs="David"/>
          <w:sz w:val="24"/>
          <w:rtl/>
        </w:rPr>
      </w:pPr>
    </w:p>
    <w:p w14:paraId="2C71C437" w14:textId="77777777" w:rsidR="00000000" w:rsidRDefault="00FB3906">
      <w:pPr>
        <w:pStyle w:val="2"/>
        <w:spacing w:line="240" w:lineRule="auto"/>
        <w:rPr>
          <w:rFonts w:cs="David"/>
          <w:sz w:val="24"/>
          <w:rtl/>
        </w:rPr>
      </w:pPr>
      <w:r>
        <w:rPr>
          <w:rFonts w:cs="David"/>
          <w:sz w:val="24"/>
          <w:rtl/>
        </w:rPr>
        <w:t>ובעניין:</w:t>
      </w:r>
      <w:r>
        <w:rPr>
          <w:rFonts w:cs="David"/>
          <w:sz w:val="24"/>
          <w:rtl/>
        </w:rPr>
        <w:tab/>
      </w:r>
      <w:r>
        <w:rPr>
          <w:rFonts w:cs="David"/>
          <w:sz w:val="24"/>
          <w:rtl/>
        </w:rPr>
        <w:tab/>
        <w:t>הממונה על ההגבלים העסקיים</w:t>
      </w:r>
    </w:p>
    <w:p w14:paraId="23814454" w14:textId="77777777" w:rsidR="00000000" w:rsidRDefault="00FB3906">
      <w:pPr>
        <w:spacing w:line="240" w:lineRule="auto"/>
        <w:rPr>
          <w:rFonts w:cs="David"/>
          <w:sz w:val="24"/>
          <w:rtl/>
        </w:rPr>
      </w:pPr>
      <w:r>
        <w:rPr>
          <w:rFonts w:cs="David"/>
          <w:b/>
          <w:bCs/>
          <w:sz w:val="24"/>
          <w:rtl/>
        </w:rPr>
        <w:tab/>
      </w:r>
      <w:r>
        <w:rPr>
          <w:rFonts w:cs="David"/>
          <w:b/>
          <w:bCs/>
          <w:sz w:val="24"/>
          <w:rtl/>
        </w:rPr>
        <w:tab/>
      </w:r>
      <w:r>
        <w:rPr>
          <w:rFonts w:cs="David"/>
          <w:sz w:val="24"/>
          <w:rtl/>
        </w:rPr>
        <w:t>ע"י ב"כ עו"ד מרשות ההגבלים העסקיים</w:t>
      </w:r>
      <w:r>
        <w:rPr>
          <w:rFonts w:cs="David"/>
          <w:sz w:val="24"/>
          <w:rtl/>
        </w:rPr>
        <w:tab/>
      </w:r>
      <w:r>
        <w:rPr>
          <w:rFonts w:cs="David"/>
          <w:sz w:val="24"/>
          <w:rtl/>
        </w:rPr>
        <w:tab/>
      </w:r>
      <w:r>
        <w:rPr>
          <w:rFonts w:cs="David"/>
          <w:sz w:val="24"/>
          <w:rtl/>
        </w:rPr>
        <w:tab/>
      </w:r>
      <w:r>
        <w:rPr>
          <w:rFonts w:cs="David"/>
          <w:b/>
          <w:bCs/>
          <w:sz w:val="24"/>
          <w:u w:val="single"/>
          <w:rtl/>
        </w:rPr>
        <w:t>הממונה</w:t>
      </w:r>
    </w:p>
    <w:p w14:paraId="312715E5" w14:textId="77777777" w:rsidR="00000000" w:rsidRDefault="00FB3906">
      <w:pPr>
        <w:rPr>
          <w:rFonts w:cs="David"/>
          <w:sz w:val="24"/>
          <w:rtl/>
        </w:rPr>
      </w:pPr>
    </w:p>
    <w:p w14:paraId="437FC1B1" w14:textId="77777777" w:rsidR="00000000" w:rsidRDefault="00FB3906">
      <w:pPr>
        <w:rPr>
          <w:rFonts w:cs="David"/>
          <w:sz w:val="24"/>
          <w:rtl/>
        </w:rPr>
      </w:pPr>
    </w:p>
    <w:p w14:paraId="1736726E" w14:textId="77777777" w:rsidR="00000000" w:rsidRDefault="00FB3906">
      <w:pPr>
        <w:pStyle w:val="3"/>
        <w:jc w:val="center"/>
        <w:rPr>
          <w:rFonts w:cs="David"/>
          <w:sz w:val="32"/>
          <w:szCs w:val="32"/>
          <w:u w:val="single"/>
          <w:rtl/>
        </w:rPr>
      </w:pPr>
      <w:r>
        <w:rPr>
          <w:rFonts w:cs="David"/>
          <w:sz w:val="32"/>
          <w:szCs w:val="32"/>
          <w:u w:val="single"/>
          <w:rtl/>
        </w:rPr>
        <w:t>החלטה</w:t>
      </w:r>
    </w:p>
    <w:p w14:paraId="1ED0923F" w14:textId="77777777" w:rsidR="00000000" w:rsidRDefault="00FB3906">
      <w:pPr>
        <w:jc w:val="center"/>
        <w:rPr>
          <w:rFonts w:cs="David"/>
          <w:b/>
          <w:bCs/>
          <w:sz w:val="32"/>
          <w:szCs w:val="32"/>
          <w:u w:val="single"/>
          <w:rtl/>
        </w:rPr>
      </w:pPr>
    </w:p>
    <w:p w14:paraId="42873BC6" w14:textId="77777777" w:rsidR="00000000" w:rsidRDefault="00FB3906">
      <w:pPr>
        <w:numPr>
          <w:ilvl w:val="0"/>
          <w:numId w:val="46"/>
        </w:numPr>
        <w:rPr>
          <w:rFonts w:cs="David"/>
          <w:sz w:val="24"/>
          <w:rtl/>
        </w:rPr>
      </w:pPr>
      <w:r>
        <w:rPr>
          <w:rFonts w:cs="David"/>
          <w:sz w:val="24"/>
          <w:rtl/>
        </w:rPr>
        <w:t xml:space="preserve">החלטה זו מתייחסת לשתי בקשות: הבקשה האחת היא בקשתן של חברות הרדיו האזורי להצטרף </w:t>
      </w:r>
      <w:r>
        <w:rPr>
          <w:rFonts w:cs="David"/>
          <w:sz w:val="24"/>
          <w:rtl/>
        </w:rPr>
        <w:t>לדיון בבקשתן של הפדרציה הישראלית לתקליטים וקלטות בע"מ והפדרציה למוסיקה ים תיכונית (להלן: "</w:t>
      </w:r>
      <w:r>
        <w:rPr>
          <w:rFonts w:cs="David"/>
          <w:b/>
          <w:bCs/>
          <w:sz w:val="24"/>
          <w:rtl/>
        </w:rPr>
        <w:t>הפדרציות</w:t>
      </w:r>
      <w:r>
        <w:rPr>
          <w:rFonts w:cs="David"/>
          <w:sz w:val="24"/>
          <w:rtl/>
        </w:rPr>
        <w:t xml:space="preserve">") לאישור ההסדרים הכובלים נשוא הבקשות. הבקשה השניה היא בקשתה של הפדרציה למוסיקה ישראלית וים תיכונית להפריד את </w:t>
      </w:r>
      <w:r>
        <w:rPr>
          <w:rFonts w:cs="David"/>
          <w:sz w:val="24"/>
          <w:rtl/>
        </w:rPr>
        <w:lastRenderedPageBreak/>
        <w:t>הדיון בשאלה הכלכלית, לעניין עלותה האלטרנטיבית של</w:t>
      </w:r>
      <w:r>
        <w:rPr>
          <w:rFonts w:cs="David"/>
          <w:sz w:val="24"/>
          <w:rtl/>
        </w:rPr>
        <w:t xml:space="preserve"> ההצגה הפומבית, ולדון בה עם המבקשים בנפרד ובמנותק מהדיון בבקשה בתיק ה"ע 3745/00. </w:t>
      </w:r>
    </w:p>
    <w:p w14:paraId="590D004E" w14:textId="77777777" w:rsidR="00000000" w:rsidRDefault="00FB3906">
      <w:pPr>
        <w:tabs>
          <w:tab w:val="right" w:pos="654"/>
          <w:tab w:val="right" w:pos="1221"/>
        </w:tabs>
        <w:rPr>
          <w:rFonts w:cs="David"/>
          <w:b/>
          <w:bCs/>
          <w:sz w:val="24"/>
          <w:u w:val="single"/>
          <w:rtl/>
          <w:lang w:eastAsia="en-US"/>
        </w:rPr>
      </w:pPr>
      <w:r>
        <w:rPr>
          <w:rFonts w:cs="David"/>
          <w:b/>
          <w:bCs/>
          <w:sz w:val="24"/>
          <w:u w:val="single"/>
          <w:rtl/>
          <w:lang w:eastAsia="en-US"/>
        </w:rPr>
        <w:tab/>
        <w:t>בקשת ההצטרפות</w:t>
      </w:r>
    </w:p>
    <w:p w14:paraId="62D1A752" w14:textId="77777777" w:rsidR="00000000" w:rsidRDefault="00FB3906">
      <w:pPr>
        <w:tabs>
          <w:tab w:val="right" w:pos="654"/>
          <w:tab w:val="right" w:pos="1221"/>
        </w:tabs>
        <w:ind w:left="654" w:hanging="654"/>
        <w:rPr>
          <w:rFonts w:cs="David"/>
          <w:sz w:val="24"/>
          <w:rtl/>
          <w:lang w:eastAsia="en-US"/>
        </w:rPr>
      </w:pPr>
      <w:r>
        <w:rPr>
          <w:rFonts w:cs="David"/>
          <w:sz w:val="24"/>
          <w:rtl/>
          <w:lang w:eastAsia="en-US"/>
        </w:rPr>
        <w:t>2.</w:t>
      </w:r>
      <w:r>
        <w:rPr>
          <w:rFonts w:cs="David"/>
          <w:sz w:val="24"/>
          <w:rtl/>
          <w:lang w:eastAsia="en-US"/>
        </w:rPr>
        <w:tab/>
      </w:r>
      <w:r>
        <w:rPr>
          <w:rFonts w:cs="David"/>
          <w:sz w:val="24"/>
          <w:rtl/>
          <w:lang w:eastAsia="en-US"/>
        </w:rPr>
        <w:tab/>
        <w:t>המבקשות הן 7 חברות המפעילות תחנות רדיו אזורי מכוח זיכיונות אשר ניתנו להן על-פי חוק הרשות השנייה לטלוויזיה ולרדיו התש"ן-1990, והן מבקשות מבית הדין להפעיל א</w:t>
      </w:r>
      <w:r>
        <w:rPr>
          <w:rFonts w:cs="David"/>
          <w:sz w:val="24"/>
          <w:rtl/>
          <w:lang w:eastAsia="en-US"/>
        </w:rPr>
        <w:t>ת סמכותו בהתאם לתקנה 27 לתקנות ההגבלים העסקיים (סדרי-דין בבית הדין ובערעור התשמ"ט-1988 (להלן: "התקנות"), ולצרפן כצד להליך המתנהל בעניין הבקשות לאישור הסדרים כובלים אשר הוגשו בתיקים אלה.</w:t>
      </w:r>
    </w:p>
    <w:p w14:paraId="200CDFB7" w14:textId="77777777" w:rsidR="00000000" w:rsidRDefault="00FB3906">
      <w:pPr>
        <w:tabs>
          <w:tab w:val="right" w:pos="654"/>
          <w:tab w:val="right" w:pos="1221"/>
        </w:tabs>
        <w:ind w:left="654" w:hanging="654"/>
        <w:rPr>
          <w:rFonts w:cs="David"/>
          <w:sz w:val="24"/>
          <w:rtl/>
          <w:lang w:eastAsia="en-US"/>
        </w:rPr>
      </w:pPr>
      <w:r>
        <w:rPr>
          <w:rFonts w:cs="David"/>
          <w:sz w:val="24"/>
          <w:rtl/>
          <w:lang w:eastAsia="en-US"/>
        </w:rPr>
        <w:t>3.</w:t>
      </w:r>
      <w:r>
        <w:rPr>
          <w:rFonts w:cs="David"/>
          <w:sz w:val="24"/>
          <w:rtl/>
          <w:lang w:eastAsia="en-US"/>
        </w:rPr>
        <w:tab/>
      </w:r>
      <w:r>
        <w:rPr>
          <w:rFonts w:cs="David"/>
          <w:sz w:val="24"/>
          <w:rtl/>
          <w:lang w:eastAsia="en-US"/>
        </w:rPr>
        <w:tab/>
        <w:t>עניינן של המבקשות בצירוף, כעולה מהבקשה, מקורו בכך שהן משדרות יצירו</w:t>
      </w:r>
      <w:r>
        <w:rPr>
          <w:rFonts w:cs="David"/>
          <w:sz w:val="24"/>
          <w:rtl/>
          <w:lang w:eastAsia="en-US"/>
        </w:rPr>
        <w:t>ת מוסיקליות, אשר לצורך השמעתן הן נדרשות לקבלת היתר שימוש ותשלום תמלוגים לשתי הפדרציות. לאור כך, טוענות המקשרות, שיש להן עניין רב בתנאים אשר ייקבעו בסופו של יום – אם וכאשר – יינתן להסדרים הכובלים האמורים אישורו של בית הדין.</w:t>
      </w:r>
    </w:p>
    <w:p w14:paraId="28EF2AAD" w14:textId="77777777" w:rsidR="00000000" w:rsidRDefault="00FB3906">
      <w:pPr>
        <w:tabs>
          <w:tab w:val="right" w:pos="654"/>
          <w:tab w:val="right" w:pos="1221"/>
        </w:tabs>
        <w:ind w:left="654" w:hanging="654"/>
        <w:rPr>
          <w:rFonts w:cs="David"/>
          <w:sz w:val="24"/>
          <w:rtl/>
          <w:lang w:eastAsia="en-US"/>
        </w:rPr>
      </w:pPr>
      <w:r>
        <w:rPr>
          <w:rFonts w:cs="David"/>
          <w:sz w:val="24"/>
          <w:rtl/>
          <w:lang w:eastAsia="en-US"/>
        </w:rPr>
        <w:tab/>
      </w:r>
      <w:r>
        <w:rPr>
          <w:rFonts w:cs="David"/>
          <w:sz w:val="24"/>
          <w:rtl/>
          <w:lang w:eastAsia="en-US"/>
        </w:rPr>
        <w:tab/>
        <w:t>ביום 4.9.00 קבע בית הדין כי המב</w:t>
      </w:r>
      <w:r>
        <w:rPr>
          <w:rFonts w:cs="David"/>
          <w:sz w:val="24"/>
          <w:rtl/>
          <w:lang w:eastAsia="en-US"/>
        </w:rPr>
        <w:t>קשות תגשנה את כל התצהירים שלהן, לרבות חוות-דעת, לעניין גובה התעריפים בתוך 90 יום, וכי המתנגדים יוכלו להגיש את תצהיריהם, לרבות חוות-דעת נגדיות, בתוך 90 יום מיום קבלת תצהירי המבקשות וחוות הדעת מטעמן, לאור כך, טוענות המבקשות, "כי מן הראוי שגם קולן יישמע במסגר</w:t>
      </w:r>
      <w:r>
        <w:rPr>
          <w:rFonts w:cs="David"/>
          <w:sz w:val="24"/>
          <w:rtl/>
          <w:lang w:eastAsia="en-US"/>
        </w:rPr>
        <w:t>ת הראיות בהליך זה, והן מעונינות בהגשת תצהירים וחוות-דעת לאחר שהתצהירים וחוות הדעת מטעם מבקשות אישור ההסדר הכובל יומצאו לדין".</w:t>
      </w:r>
    </w:p>
    <w:p w14:paraId="7A44F55A" w14:textId="77777777" w:rsidR="00000000" w:rsidRDefault="00FB3906">
      <w:pPr>
        <w:tabs>
          <w:tab w:val="right" w:pos="654"/>
          <w:tab w:val="right" w:pos="1221"/>
        </w:tabs>
        <w:ind w:left="654" w:hanging="654"/>
        <w:rPr>
          <w:rFonts w:cs="David"/>
          <w:sz w:val="24"/>
          <w:rtl/>
          <w:lang w:eastAsia="en-US"/>
        </w:rPr>
      </w:pPr>
      <w:r>
        <w:rPr>
          <w:rFonts w:cs="David"/>
          <w:sz w:val="24"/>
          <w:rtl/>
          <w:lang w:eastAsia="en-US"/>
        </w:rPr>
        <w:t>4.</w:t>
      </w:r>
      <w:r>
        <w:rPr>
          <w:rFonts w:cs="David"/>
          <w:sz w:val="24"/>
          <w:rtl/>
          <w:lang w:eastAsia="en-US"/>
        </w:rPr>
        <w:tab/>
      </w:r>
      <w:r>
        <w:rPr>
          <w:rFonts w:cs="David"/>
          <w:sz w:val="24"/>
          <w:rtl/>
          <w:lang w:eastAsia="en-US"/>
        </w:rPr>
        <w:tab/>
        <w:t>המבקשות בבקשה לאישור ההסדר הכובל (שתי הפדרציות) הודיעו כי אינן נוקטות עמדה בבקשה ומותירות את ההחלטה בעניין לשיקול דעת בית הדין</w:t>
      </w:r>
      <w:r>
        <w:rPr>
          <w:rFonts w:cs="David"/>
          <w:sz w:val="24"/>
          <w:rtl/>
          <w:lang w:eastAsia="en-US"/>
        </w:rPr>
        <w:t>. עם זה, ציינו הפדרציות, כי הן סבורות שבצירוף צדדים נוספים להליך בשלב מאוחר זה יש כדי לסרבל את ההליך ולהשהות את ניהול הדיון.</w:t>
      </w:r>
    </w:p>
    <w:p w14:paraId="42857AFA" w14:textId="77777777" w:rsidR="00000000" w:rsidRDefault="00FB3906">
      <w:pPr>
        <w:tabs>
          <w:tab w:val="right" w:pos="654"/>
          <w:tab w:val="right" w:pos="1221"/>
        </w:tabs>
        <w:ind w:left="654" w:hanging="654"/>
        <w:rPr>
          <w:rFonts w:cs="David"/>
          <w:sz w:val="24"/>
          <w:rtl/>
          <w:lang w:eastAsia="en-US"/>
        </w:rPr>
      </w:pPr>
      <w:r>
        <w:rPr>
          <w:rFonts w:cs="David"/>
          <w:sz w:val="24"/>
          <w:rtl/>
          <w:lang w:eastAsia="en-US"/>
        </w:rPr>
        <w:tab/>
      </w:r>
      <w:r>
        <w:rPr>
          <w:rFonts w:cs="David"/>
          <w:sz w:val="24"/>
          <w:rtl/>
          <w:lang w:eastAsia="en-US"/>
        </w:rPr>
        <w:tab/>
        <w:t>הממונה הסכים לבקשה, "ככל שמטרת ההצטרפות מוגלת להגשת תצהירים וחוות דעת מטעמן".</w:t>
      </w:r>
    </w:p>
    <w:p w14:paraId="15CB9746" w14:textId="77777777" w:rsidR="00000000" w:rsidRDefault="00FB3906">
      <w:pPr>
        <w:tabs>
          <w:tab w:val="right" w:pos="654"/>
          <w:tab w:val="right" w:pos="1221"/>
        </w:tabs>
        <w:ind w:left="654" w:hanging="654"/>
        <w:rPr>
          <w:rFonts w:cs="David"/>
          <w:sz w:val="24"/>
          <w:rtl/>
          <w:lang w:eastAsia="en-US"/>
        </w:rPr>
      </w:pPr>
      <w:r>
        <w:rPr>
          <w:rFonts w:cs="David"/>
          <w:sz w:val="24"/>
          <w:rtl/>
          <w:lang w:eastAsia="en-US"/>
        </w:rPr>
        <w:t>5.</w:t>
      </w:r>
      <w:r>
        <w:rPr>
          <w:rFonts w:cs="David"/>
          <w:sz w:val="24"/>
          <w:rtl/>
          <w:lang w:eastAsia="en-US"/>
        </w:rPr>
        <w:tab/>
      </w:r>
      <w:r>
        <w:rPr>
          <w:rFonts w:cs="David"/>
          <w:sz w:val="24"/>
          <w:rtl/>
          <w:lang w:eastAsia="en-US"/>
        </w:rPr>
        <w:tab/>
        <w:t>יש ממש בטענתן של הפדרציות, כי צרוף צדדים נוספים</w:t>
      </w:r>
      <w:r>
        <w:rPr>
          <w:rFonts w:cs="David"/>
          <w:sz w:val="24"/>
          <w:rtl/>
          <w:lang w:eastAsia="en-US"/>
        </w:rPr>
        <w:t xml:space="preserve"> להליך בשלב מאוחר זה עשוי לסרבל את ההליך ולשהות את הדיון בו.</w:t>
      </w:r>
    </w:p>
    <w:p w14:paraId="3E7712B9" w14:textId="77777777" w:rsidR="00000000" w:rsidRDefault="00FB3906">
      <w:pPr>
        <w:tabs>
          <w:tab w:val="right" w:pos="654"/>
          <w:tab w:val="right" w:pos="1221"/>
        </w:tabs>
        <w:ind w:left="654" w:hanging="654"/>
        <w:rPr>
          <w:rFonts w:cs="David"/>
          <w:sz w:val="24"/>
          <w:rtl/>
          <w:lang w:eastAsia="en-US"/>
        </w:rPr>
      </w:pPr>
      <w:r>
        <w:rPr>
          <w:rFonts w:cs="David"/>
          <w:sz w:val="24"/>
          <w:rtl/>
          <w:lang w:eastAsia="en-US"/>
        </w:rPr>
        <w:t>6.</w:t>
      </w:r>
      <w:r>
        <w:rPr>
          <w:rFonts w:cs="David"/>
          <w:sz w:val="24"/>
          <w:rtl/>
          <w:lang w:eastAsia="en-US"/>
        </w:rPr>
        <w:tab/>
      </w:r>
      <w:r>
        <w:rPr>
          <w:rFonts w:cs="David"/>
          <w:sz w:val="24"/>
          <w:rtl/>
          <w:lang w:eastAsia="en-US"/>
        </w:rPr>
        <w:tab/>
        <w:t>המבקשות לא פירטו בבקשתן מה הן הטענות שאותן בדעתן להעלות אם יותר להן הצירוף. אולם, מהבקשה עולה כי הן חוששות שהן עשויות להיפגע מהתנאים שייקבעו בבסיס האישור של ההסדרים הכובלים. משמע, המבקשות טוע</w:t>
      </w:r>
      <w:r>
        <w:rPr>
          <w:rFonts w:cs="David"/>
          <w:sz w:val="24"/>
          <w:rtl/>
          <w:lang w:eastAsia="en-US"/>
        </w:rPr>
        <w:t>נות כי הן עלולות להיפגע עקב אישור ההסדר על תנאיו. לכך בדיוק נועד ההליך של הגשת התנגדות לבקשה לאישור הסדר הכובל, דבר שלא נעשה על-ידי המבקשות במועד, וגם כיום הן אינן מבקשות להאריך את המועד להגיש התנגדות להסדר.</w:t>
      </w:r>
    </w:p>
    <w:p w14:paraId="7916292E" w14:textId="77777777" w:rsidR="00000000" w:rsidRDefault="00FB3906">
      <w:pPr>
        <w:tabs>
          <w:tab w:val="right" w:pos="654"/>
          <w:tab w:val="right" w:pos="1221"/>
        </w:tabs>
        <w:ind w:left="654" w:hanging="654"/>
        <w:rPr>
          <w:rFonts w:cs="David"/>
          <w:sz w:val="24"/>
          <w:rtl/>
          <w:lang w:eastAsia="en-US"/>
        </w:rPr>
      </w:pPr>
      <w:r>
        <w:rPr>
          <w:rFonts w:cs="David"/>
          <w:sz w:val="24"/>
          <w:rtl/>
          <w:lang w:eastAsia="en-US"/>
        </w:rPr>
        <w:t>7.</w:t>
      </w:r>
      <w:r>
        <w:rPr>
          <w:rFonts w:cs="David"/>
          <w:sz w:val="24"/>
          <w:rtl/>
          <w:lang w:eastAsia="en-US"/>
        </w:rPr>
        <w:tab/>
      </w:r>
      <w:r>
        <w:rPr>
          <w:rFonts w:cs="David"/>
          <w:sz w:val="24"/>
          <w:rtl/>
          <w:lang w:eastAsia="en-US"/>
        </w:rPr>
        <w:tab/>
        <w:t>על-פי סעיף 8ב לחוק ההגבלים העסקיים התשמ"ח-19</w:t>
      </w:r>
      <w:r>
        <w:rPr>
          <w:rFonts w:cs="David"/>
          <w:sz w:val="24"/>
          <w:rtl/>
          <w:lang w:eastAsia="en-US"/>
        </w:rPr>
        <w:t>88, אדם העלול להיפגע מהסדר כובל רשאי להגיש לבית הדין התנגדות מנומקת בכתב תוך 30 ימים מיום פרסום ההודעה ברשומות על הגשת הבקשה לאישור ההסדר הכובל.</w:t>
      </w:r>
    </w:p>
    <w:p w14:paraId="6236D214" w14:textId="77777777" w:rsidR="00000000" w:rsidRDefault="00FB3906">
      <w:pPr>
        <w:tabs>
          <w:tab w:val="right" w:pos="654"/>
          <w:tab w:val="right" w:pos="1221"/>
        </w:tabs>
        <w:ind w:left="654" w:hanging="654"/>
        <w:rPr>
          <w:rFonts w:cs="David"/>
          <w:sz w:val="24"/>
          <w:rtl/>
          <w:lang w:eastAsia="en-US"/>
        </w:rPr>
      </w:pPr>
      <w:r>
        <w:rPr>
          <w:rFonts w:cs="David"/>
          <w:sz w:val="24"/>
          <w:rtl/>
          <w:lang w:eastAsia="en-US"/>
        </w:rPr>
        <w:lastRenderedPageBreak/>
        <w:t>8.</w:t>
      </w:r>
      <w:r>
        <w:rPr>
          <w:rFonts w:cs="David"/>
          <w:sz w:val="24"/>
          <w:rtl/>
          <w:lang w:eastAsia="en-US"/>
        </w:rPr>
        <w:tab/>
      </w:r>
      <w:r>
        <w:rPr>
          <w:rFonts w:cs="David"/>
          <w:sz w:val="24"/>
          <w:rtl/>
          <w:lang w:eastAsia="en-US"/>
        </w:rPr>
        <w:tab/>
        <w:t>תקנה 27 לתקנות אמנם מאפשרת לבית הדין לצרף בכל שלב של הדיון כבעל דין מי שימצא לנכון בתנאים שיראו לו. אולם, ת</w:t>
      </w:r>
      <w:r>
        <w:rPr>
          <w:rFonts w:cs="David"/>
          <w:sz w:val="24"/>
          <w:rtl/>
          <w:lang w:eastAsia="en-US"/>
        </w:rPr>
        <w:t>קנה זו לא נועדה לעקוף את המועד שנקבע בחוק להגשת ההתנגדות. יתר על כן, מי שמבקש להצטרף כצד לדיון צריך לשכנע  את בית הדין כי בידו לתרום לבירור ההליך. בשלב זה, אל המציאו המבקשות כל חומר שהוא, ממנו ניתן ללמוד מה התרומה שתצמח לדיון מצירופן להליך. עצם ההודעה על כ</w:t>
      </w:r>
      <w:r>
        <w:rPr>
          <w:rFonts w:cs="David"/>
          <w:sz w:val="24"/>
          <w:rtl/>
          <w:lang w:eastAsia="en-US"/>
        </w:rPr>
        <w:t>וונתן, אם בית הדין ייעתר לבקשה, להגיש תצהירים וחוות דעת כלכלית, אין בה כדי לאפשר לבית הדין לעמוד על התרומה שתצמח מהצירוף.</w:t>
      </w:r>
    </w:p>
    <w:p w14:paraId="6C263995" w14:textId="77777777" w:rsidR="00000000" w:rsidRDefault="00FB3906">
      <w:pPr>
        <w:tabs>
          <w:tab w:val="right" w:pos="654"/>
          <w:tab w:val="right" w:pos="1221"/>
        </w:tabs>
        <w:ind w:left="654" w:hanging="654"/>
        <w:rPr>
          <w:rFonts w:cs="David"/>
          <w:sz w:val="24"/>
          <w:rtl/>
          <w:lang w:eastAsia="en-US"/>
        </w:rPr>
      </w:pPr>
      <w:r>
        <w:rPr>
          <w:rFonts w:cs="David"/>
          <w:sz w:val="24"/>
          <w:rtl/>
          <w:lang w:eastAsia="en-US"/>
        </w:rPr>
        <w:t>9.</w:t>
      </w:r>
      <w:r>
        <w:rPr>
          <w:rFonts w:cs="David"/>
          <w:sz w:val="24"/>
          <w:rtl/>
          <w:lang w:eastAsia="en-US"/>
        </w:rPr>
        <w:tab/>
      </w:r>
      <w:r>
        <w:rPr>
          <w:rFonts w:cs="David"/>
          <w:sz w:val="24"/>
          <w:rtl/>
          <w:lang w:eastAsia="en-US"/>
        </w:rPr>
        <w:tab/>
        <w:t xml:space="preserve">עם זה, איננו דוחים את הבקשה כליל ואנו מאפשרים למבקשות להגיש בתוך 30 יום מהיום את כל החומר שברצונן להציג בפני בית הדין: הן תצהירים </w:t>
      </w:r>
      <w:r>
        <w:rPr>
          <w:rFonts w:cs="David"/>
          <w:sz w:val="24"/>
          <w:rtl/>
          <w:lang w:eastAsia="en-US"/>
        </w:rPr>
        <w:t>והן חוות-דעת כלכליות או כל חומר אחר. רק לאחר הצגתו של חומר זה נוכל לקבוע עמדה באשר לתרומה העשויה לצמוח מצירופן של המקשות להליך, כמו גם לשאלה עד כמה יהא בצירוף כדי לעכב את הדיון או להשהותו.</w:t>
      </w:r>
    </w:p>
    <w:p w14:paraId="117BEDB0" w14:textId="77777777" w:rsidR="00000000" w:rsidRDefault="00FB3906">
      <w:pPr>
        <w:pStyle w:val="7"/>
        <w:rPr>
          <w:rFonts w:cs="David"/>
          <w:sz w:val="24"/>
          <w:rtl/>
        </w:rPr>
      </w:pPr>
      <w:r>
        <w:rPr>
          <w:rFonts w:cs="David"/>
          <w:sz w:val="24"/>
          <w:rtl/>
        </w:rPr>
        <w:tab/>
        <w:t>הבקשה לפיצול הדיון</w:t>
      </w:r>
    </w:p>
    <w:p w14:paraId="5A5A236C" w14:textId="77777777" w:rsidR="00000000" w:rsidRDefault="00FB3906">
      <w:pPr>
        <w:ind w:left="654" w:hanging="654"/>
        <w:rPr>
          <w:rFonts w:cs="David"/>
          <w:sz w:val="24"/>
          <w:rtl/>
        </w:rPr>
      </w:pPr>
      <w:r>
        <w:rPr>
          <w:rFonts w:cs="David"/>
          <w:sz w:val="24"/>
          <w:rtl/>
        </w:rPr>
        <w:t>10.</w:t>
      </w:r>
      <w:r>
        <w:rPr>
          <w:rFonts w:cs="David"/>
          <w:sz w:val="24"/>
          <w:rtl/>
        </w:rPr>
        <w:tab/>
        <w:t>בבקשה התבקשה הפרדת הדיון בנושא הכלכלי של על</w:t>
      </w:r>
      <w:r>
        <w:rPr>
          <w:rFonts w:cs="David"/>
          <w:sz w:val="24"/>
          <w:rtl/>
        </w:rPr>
        <w:t>ותה האלטרנטיבית ששל ההצגה הפומבית של יצירות המבקשת מהדיון במסגרת הדיון בבקשת הפדרציה למוזיקה עם תיכונית (ה"ע 3666/00) מהדיון בבקשתה של הפדרציה הישראלית לתקליטים וקלטות (בקשה ה"ע 3574/00). אולם מנימוקי הבקשה עולה שטוענת המבקשת, למעשה, היא שלהשמעה האלטרנטיבי</w:t>
      </w:r>
      <w:r>
        <w:rPr>
          <w:rFonts w:cs="David"/>
          <w:sz w:val="24"/>
          <w:rtl/>
        </w:rPr>
        <w:t>ת – שלא בדרך של גבייה מרוכזת – אין כל ערך עצמאי. עוד נטען בבקשה, שלמבקשת, כארגון צעיר וקטן יחסית של מפיקים עצמאיים ובתנאי השוק הישראלי המאופיינים ביחסי כוחות לחלוטין בלתי שוויוניים, אין למבקשת כל יכולת לכפות את מחיריה על המשתמשים. מכאן משתמע שגם בהשמעה המר</w:t>
      </w:r>
      <w:r>
        <w:rPr>
          <w:rFonts w:cs="David"/>
          <w:sz w:val="24"/>
          <w:rtl/>
        </w:rPr>
        <w:t>וכזת, היינו, באמצעות ההסדר הכובל נשוא הבקשה, הגם שיש לה ערך כלכלי כלשהו, אין משום ניצול כוח קרטליסטי שמקורו בהסדר הכובל, שכן למבקשת אין כוח כזה.</w:t>
      </w:r>
    </w:p>
    <w:p w14:paraId="4F0DBFB3" w14:textId="77777777" w:rsidR="00000000" w:rsidRDefault="00FB3906">
      <w:pPr>
        <w:ind w:left="654" w:hanging="654"/>
        <w:rPr>
          <w:rFonts w:cs="David"/>
          <w:sz w:val="24"/>
          <w:rtl/>
        </w:rPr>
      </w:pPr>
      <w:r>
        <w:rPr>
          <w:rFonts w:cs="David"/>
          <w:sz w:val="24"/>
          <w:rtl/>
        </w:rPr>
        <w:tab/>
        <w:t xml:space="preserve">בסיומה של הבקשה טוענת המבקשת שלדעתה, "בדיקה השוואתית בין מחירי הרישוי הנגבים על ידה כיום, אל מול המחירים שהיו </w:t>
      </w:r>
      <w:r>
        <w:rPr>
          <w:rFonts w:cs="David"/>
          <w:sz w:val="24"/>
          <w:rtl/>
        </w:rPr>
        <w:t xml:space="preserve">נגבים אילו היתה נערכת גביה פרטנית מכל מפיק עצמאי בנפרד, הנה בדיקה שבנוסף להיותה אקדמאית ותאורטית בלבד – </w:t>
      </w:r>
      <w:r>
        <w:rPr>
          <w:rFonts w:cs="David"/>
          <w:b/>
          <w:bCs/>
          <w:sz w:val="24"/>
          <w:rtl/>
        </w:rPr>
        <w:t>גם אין כל יכולת לבצעה. (הדגשה במקור).</w:t>
      </w:r>
      <w:r>
        <w:rPr>
          <w:rFonts w:cs="David"/>
          <w:sz w:val="24"/>
          <w:rtl/>
        </w:rPr>
        <w:t xml:space="preserve"> לפיכך, טוענת המבקשת, כי היא סבורה ששכלל, אין מקום להגיש חוות דעת כלכלית בעניין התעריפים האלטרנטיביים לתעריפים הנקב</w:t>
      </w:r>
      <w:r>
        <w:rPr>
          <w:rFonts w:cs="David"/>
          <w:sz w:val="24"/>
          <w:rtl/>
        </w:rPr>
        <w:t>עים על-ידי תאגיד לניהול משותף של זכויות"</w:t>
      </w:r>
    </w:p>
    <w:p w14:paraId="5D800B38" w14:textId="77777777" w:rsidR="00000000" w:rsidRDefault="00FB3906">
      <w:pPr>
        <w:ind w:left="654" w:hanging="654"/>
        <w:rPr>
          <w:rFonts w:cs="David"/>
          <w:sz w:val="24"/>
          <w:rtl/>
        </w:rPr>
      </w:pPr>
      <w:r>
        <w:rPr>
          <w:rFonts w:cs="David"/>
          <w:sz w:val="24"/>
          <w:rtl/>
        </w:rPr>
        <w:t>11.</w:t>
      </w:r>
      <w:r>
        <w:rPr>
          <w:rFonts w:cs="David"/>
          <w:sz w:val="24"/>
          <w:rtl/>
        </w:rPr>
        <w:tab/>
        <w:t>כל הטענות האמורות אינן מצדיקות הפרדת הדיון. אם המבקשת סבורה שאין מקום להגשת חוות דעת כלכלית מטעמה, היא רשאית, כמובן, שלא להגיש חוות דעת כזאת. זאת בלא שנחווה דעתנו בשלב זה על ההשפעה שעשויה להיות נודעת לאי הגשתה ש</w:t>
      </w:r>
      <w:r>
        <w:rPr>
          <w:rFonts w:cs="David"/>
          <w:sz w:val="24"/>
          <w:rtl/>
        </w:rPr>
        <w:t>ל חוות דעת כזאת על ההליך. ואולם, אי הגשת חוות דעת כלכלית, איננה מצדיקה להפריד את הדיון בין שתי הבקשות. כפי שמציין הממונה בתגובתו, חרף ההבדלים בין שתי הפדרציות, קיימים נושאים עובדתיים משפטיים ועובדתיים רבים המשותפים לשתי הבקשות, ואלה מצדיקים קיום הדיון בשני</w:t>
      </w:r>
      <w:r>
        <w:rPr>
          <w:rFonts w:cs="David"/>
          <w:sz w:val="24"/>
          <w:rtl/>
        </w:rPr>
        <w:t xml:space="preserve"> ההליכים במאוחד, כפי שהוחלט בשעתו.</w:t>
      </w:r>
    </w:p>
    <w:p w14:paraId="143B5157" w14:textId="77777777" w:rsidR="00000000" w:rsidRDefault="00FB3906">
      <w:pPr>
        <w:ind w:left="654" w:hanging="654"/>
        <w:rPr>
          <w:rFonts w:cs="David"/>
          <w:sz w:val="24"/>
          <w:rtl/>
        </w:rPr>
      </w:pPr>
    </w:p>
    <w:p w14:paraId="42AC42F5" w14:textId="77777777" w:rsidR="00000000" w:rsidRDefault="00FB3906">
      <w:pPr>
        <w:ind w:left="654" w:hanging="654"/>
        <w:rPr>
          <w:rFonts w:cs="David"/>
          <w:sz w:val="24"/>
          <w:rtl/>
        </w:rPr>
      </w:pPr>
      <w:r>
        <w:rPr>
          <w:rFonts w:cs="David"/>
          <w:sz w:val="24"/>
          <w:rtl/>
        </w:rPr>
        <w:lastRenderedPageBreak/>
        <w:t xml:space="preserve">12. </w:t>
      </w:r>
      <w:r>
        <w:rPr>
          <w:rFonts w:cs="David"/>
          <w:sz w:val="24"/>
          <w:rtl/>
        </w:rPr>
        <w:tab/>
        <w:t>הבקשה נדחית.</w:t>
      </w:r>
    </w:p>
    <w:p w14:paraId="65918E5D" w14:textId="77777777" w:rsidR="00000000" w:rsidRDefault="00FB3906">
      <w:pPr>
        <w:ind w:left="654" w:hanging="654"/>
        <w:rPr>
          <w:rFonts w:cs="David"/>
          <w:sz w:val="24"/>
          <w:rtl/>
        </w:rPr>
      </w:pPr>
    </w:p>
    <w:p w14:paraId="1C0F6C11" w14:textId="77777777" w:rsidR="00000000" w:rsidRDefault="00FB3906">
      <w:pPr>
        <w:ind w:left="654" w:hanging="654"/>
        <w:rPr>
          <w:rFonts w:cs="David"/>
          <w:b/>
          <w:bCs/>
          <w:sz w:val="24"/>
          <w:rtl/>
        </w:rPr>
      </w:pPr>
      <w:r>
        <w:rPr>
          <w:rFonts w:cs="David"/>
          <w:b/>
          <w:bCs/>
          <w:sz w:val="24"/>
          <w:rtl/>
        </w:rPr>
        <w:t>ניתנה היום, ד' באדר תשס"א, (27 בפברואר 2001), בהעדר הצדדים.</w:t>
      </w:r>
    </w:p>
    <w:p w14:paraId="16B17955" w14:textId="77777777" w:rsidR="00000000" w:rsidRDefault="00FB3906">
      <w:pPr>
        <w:ind w:left="654" w:hanging="654"/>
        <w:rPr>
          <w:rFonts w:cs="David"/>
          <w:b/>
          <w:bCs/>
          <w:sz w:val="24"/>
          <w:rtl/>
        </w:rPr>
      </w:pPr>
    </w:p>
    <w:p w14:paraId="31886B5A" w14:textId="77777777" w:rsidR="00000000" w:rsidRDefault="00FB3906">
      <w:pPr>
        <w:ind w:left="654" w:hanging="654"/>
        <w:rPr>
          <w:rFonts w:cs="David"/>
          <w:b/>
          <w:bCs/>
          <w:sz w:val="24"/>
          <w:rtl/>
        </w:rPr>
      </w:pPr>
      <w:r>
        <w:rPr>
          <w:rFonts w:cs="David"/>
          <w:b/>
          <w:bCs/>
          <w:sz w:val="24"/>
          <w:rtl/>
        </w:rPr>
        <w:t>המזכירות תמצאי העתק ההחלטה לב"כ הצדדים.</w:t>
      </w:r>
    </w:p>
    <w:p w14:paraId="598B1B62" w14:textId="77777777" w:rsidR="00000000" w:rsidRDefault="00FB3906">
      <w:pPr>
        <w:tabs>
          <w:tab w:val="right" w:pos="654"/>
          <w:tab w:val="right" w:pos="1221"/>
        </w:tabs>
        <w:ind w:left="654" w:hanging="654"/>
        <w:rPr>
          <w:rFonts w:cs="David"/>
          <w:sz w:val="24"/>
          <w:rtl/>
          <w:lang w:eastAsia="en-US"/>
        </w:rPr>
      </w:pPr>
    </w:p>
    <w:p w14:paraId="48A66793" w14:textId="77777777" w:rsidR="00000000" w:rsidRDefault="00FB3906">
      <w:pPr>
        <w:tabs>
          <w:tab w:val="right" w:pos="654"/>
          <w:tab w:val="right" w:pos="1221"/>
        </w:tabs>
        <w:rPr>
          <w:rFonts w:cs="David"/>
          <w:sz w:val="24"/>
          <w:rtl/>
          <w:lang w:eastAsia="en-US"/>
        </w:rPr>
      </w:pPr>
    </w:p>
    <w:p w14:paraId="32E05E9A" w14:textId="77777777" w:rsidR="00000000" w:rsidRDefault="00FB3906">
      <w:pPr>
        <w:pStyle w:val="8"/>
        <w:rPr>
          <w:rFonts w:cs="David"/>
          <w:sz w:val="24"/>
          <w:rtl/>
        </w:rPr>
      </w:pPr>
      <w:r>
        <w:rPr>
          <w:rFonts w:cs="David"/>
          <w:sz w:val="24"/>
          <w:rtl/>
        </w:rPr>
        <w:t>_______________</w:t>
      </w:r>
      <w:r>
        <w:rPr>
          <w:rFonts w:cs="David"/>
          <w:sz w:val="24"/>
          <w:rtl/>
        </w:rPr>
        <w:tab/>
      </w:r>
      <w:r>
        <w:rPr>
          <w:rFonts w:cs="David"/>
          <w:sz w:val="24"/>
          <w:rtl/>
        </w:rPr>
        <w:tab/>
      </w:r>
      <w:r>
        <w:rPr>
          <w:rFonts w:cs="David"/>
          <w:sz w:val="24"/>
          <w:rtl/>
        </w:rPr>
        <w:t xml:space="preserve">        _________________               _______________</w:t>
      </w:r>
      <w:r>
        <w:rPr>
          <w:rFonts w:cs="David"/>
          <w:sz w:val="24"/>
          <w:rtl/>
        </w:rPr>
        <w:tab/>
      </w:r>
    </w:p>
    <w:p w14:paraId="6499F882" w14:textId="77777777" w:rsidR="00000000" w:rsidRDefault="00FB3906">
      <w:pPr>
        <w:pStyle w:val="8"/>
        <w:rPr>
          <w:rFonts w:cs="David"/>
          <w:sz w:val="24"/>
          <w:rtl/>
        </w:rPr>
      </w:pPr>
      <w:r>
        <w:rPr>
          <w:rFonts w:cs="David"/>
          <w:sz w:val="24"/>
          <w:rtl/>
        </w:rPr>
        <w:t>יהונתן עדיאל, שופט</w:t>
      </w:r>
      <w:r>
        <w:rPr>
          <w:rFonts w:cs="David"/>
          <w:sz w:val="24"/>
          <w:rtl/>
        </w:rPr>
        <w:tab/>
      </w:r>
      <w:r>
        <w:rPr>
          <w:rFonts w:cs="David"/>
          <w:sz w:val="24"/>
          <w:rtl/>
        </w:rPr>
        <w:tab/>
      </w:r>
      <w:r>
        <w:rPr>
          <w:rFonts w:cs="David"/>
          <w:sz w:val="24"/>
          <w:rtl/>
        </w:rPr>
        <w:tab/>
        <w:t>פרופ' אמיר ברנע</w:t>
      </w:r>
      <w:r>
        <w:rPr>
          <w:rFonts w:cs="David"/>
          <w:sz w:val="24"/>
          <w:rtl/>
        </w:rPr>
        <w:tab/>
      </w:r>
      <w:r>
        <w:rPr>
          <w:rFonts w:cs="David"/>
          <w:sz w:val="24"/>
          <w:rtl/>
        </w:rPr>
        <w:tab/>
        <w:t>עו"ד ירון קידר</w:t>
      </w:r>
    </w:p>
    <w:p w14:paraId="01DF86C5" w14:textId="77777777" w:rsidR="00FB3906" w:rsidRDefault="00FB3906">
      <w:pPr>
        <w:tabs>
          <w:tab w:val="right" w:pos="654"/>
          <w:tab w:val="right" w:pos="1221"/>
        </w:tabs>
        <w:rPr>
          <w:rFonts w:cs="David"/>
          <w:b/>
          <w:bCs/>
          <w:sz w:val="24"/>
          <w:rtl/>
          <w:lang w:eastAsia="en-US"/>
        </w:rPr>
      </w:pPr>
      <w:r>
        <w:rPr>
          <w:rFonts w:cs="David"/>
          <w:b/>
          <w:bCs/>
          <w:sz w:val="24"/>
          <w:rtl/>
          <w:lang w:eastAsia="en-US"/>
        </w:rPr>
        <w:t>המשנה לאב בית הדין</w:t>
      </w:r>
      <w:r>
        <w:rPr>
          <w:rFonts w:cs="David"/>
          <w:b/>
          <w:bCs/>
          <w:sz w:val="24"/>
          <w:rtl/>
          <w:lang w:eastAsia="en-US"/>
        </w:rPr>
        <w:tab/>
      </w:r>
      <w:r>
        <w:rPr>
          <w:rFonts w:cs="David"/>
          <w:b/>
          <w:bCs/>
          <w:sz w:val="24"/>
          <w:rtl/>
          <w:lang w:eastAsia="en-US"/>
        </w:rPr>
        <w:tab/>
      </w:r>
      <w:r>
        <w:rPr>
          <w:rFonts w:cs="David"/>
          <w:b/>
          <w:bCs/>
          <w:sz w:val="24"/>
          <w:rtl/>
          <w:lang w:eastAsia="en-US"/>
        </w:rPr>
        <w:tab/>
      </w:r>
      <w:r>
        <w:rPr>
          <w:rFonts w:cs="David"/>
          <w:b/>
          <w:bCs/>
          <w:sz w:val="24"/>
          <w:rtl/>
          <w:lang w:eastAsia="en-US"/>
        </w:rPr>
        <w:tab/>
        <w:t>חבר</w:t>
      </w:r>
      <w:r>
        <w:rPr>
          <w:rFonts w:cs="David"/>
          <w:b/>
          <w:bCs/>
          <w:sz w:val="24"/>
          <w:rtl/>
          <w:lang w:eastAsia="en-US"/>
        </w:rPr>
        <w:tab/>
      </w:r>
      <w:r>
        <w:rPr>
          <w:rFonts w:cs="David"/>
          <w:b/>
          <w:bCs/>
          <w:sz w:val="24"/>
          <w:rtl/>
          <w:lang w:eastAsia="en-US"/>
        </w:rPr>
        <w:tab/>
      </w:r>
      <w:r>
        <w:rPr>
          <w:rFonts w:cs="David"/>
          <w:b/>
          <w:bCs/>
          <w:sz w:val="24"/>
          <w:rtl/>
          <w:lang w:eastAsia="en-US"/>
        </w:rPr>
        <w:tab/>
        <w:t xml:space="preserve">          חבר</w:t>
      </w:r>
    </w:p>
    <w:sectPr w:rsidR="00FB3906">
      <w:footerReference w:type="default" r:id="rId7"/>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64C31" w14:textId="77777777" w:rsidR="00FB3906" w:rsidRDefault="00FB3906">
      <w:pPr>
        <w:spacing w:before="0" w:line="240" w:lineRule="auto"/>
      </w:pPr>
      <w:r>
        <w:separator/>
      </w:r>
    </w:p>
  </w:endnote>
  <w:endnote w:type="continuationSeparator" w:id="0">
    <w:p w14:paraId="72903CD4" w14:textId="77777777" w:rsidR="00FB3906" w:rsidRDefault="00FB39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B47D" w14:textId="77777777" w:rsidR="00000000" w:rsidRDefault="00FB3906">
    <w:pPr>
      <w:pStyle w:val="ae"/>
      <w:jc w:val="left"/>
      <w:rPr>
        <w:rFonts w:cs="David"/>
        <w:sz w:val="24"/>
        <w:rtl/>
      </w:rPr>
    </w:pPr>
    <w:r>
      <w:rPr>
        <w:rFonts w:cs="David"/>
        <w:sz w:val="24"/>
        <w:rtl/>
      </w:rPr>
      <w:t>1/248166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EDEDA" w14:textId="77777777" w:rsidR="00FB3906" w:rsidRDefault="00FB3906">
      <w:pPr>
        <w:spacing w:before="0" w:line="240" w:lineRule="auto"/>
      </w:pPr>
      <w:r>
        <w:separator/>
      </w:r>
    </w:p>
  </w:footnote>
  <w:footnote w:type="continuationSeparator" w:id="0">
    <w:p w14:paraId="649BE909" w14:textId="77777777" w:rsidR="00FB3906" w:rsidRDefault="00FB390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F4AF6C"/>
    <w:lvl w:ilvl="0">
      <w:start w:val="1"/>
      <w:numFmt w:val="decimal"/>
      <w:lvlText w:val="%1."/>
      <w:lvlJc w:val="left"/>
      <w:pPr>
        <w:tabs>
          <w:tab w:val="num" w:pos="1800"/>
        </w:tabs>
        <w:ind w:left="1800" w:hanging="360"/>
      </w:pPr>
      <w:rPr>
        <w:rFonts w:ascii="Times New Roman" w:hAnsi="Times New Roman" w:cs="Times New Roman"/>
      </w:rPr>
    </w:lvl>
  </w:abstractNum>
  <w:abstractNum w:abstractNumId="1" w15:restartNumberingAfterBreak="0">
    <w:nsid w:val="FFFFFF7D"/>
    <w:multiLevelType w:val="singleLevel"/>
    <w:tmpl w:val="2FB81384"/>
    <w:lvl w:ilvl="0">
      <w:start w:val="1"/>
      <w:numFmt w:val="decimal"/>
      <w:lvlText w:val="%1."/>
      <w:lvlJc w:val="left"/>
      <w:pPr>
        <w:tabs>
          <w:tab w:val="num" w:pos="1440"/>
        </w:tabs>
        <w:ind w:left="1440" w:hanging="360"/>
      </w:pPr>
      <w:rPr>
        <w:rFonts w:ascii="Times New Roman" w:hAnsi="Times New Roman" w:cs="Times New Roman"/>
      </w:rPr>
    </w:lvl>
  </w:abstractNum>
  <w:abstractNum w:abstractNumId="2" w15:restartNumberingAfterBreak="0">
    <w:nsid w:val="FFFFFF7E"/>
    <w:multiLevelType w:val="singleLevel"/>
    <w:tmpl w:val="A240D9D0"/>
    <w:lvl w:ilvl="0">
      <w:start w:val="1"/>
      <w:numFmt w:val="decimal"/>
      <w:lvlText w:val="%1."/>
      <w:lvlJc w:val="left"/>
      <w:pPr>
        <w:tabs>
          <w:tab w:val="num" w:pos="1080"/>
        </w:tabs>
        <w:ind w:left="1080" w:hanging="360"/>
      </w:pPr>
      <w:rPr>
        <w:rFonts w:ascii="Times New Roman" w:hAnsi="Times New Roman" w:cs="Times New Roman"/>
      </w:rPr>
    </w:lvl>
  </w:abstractNum>
  <w:abstractNum w:abstractNumId="3" w15:restartNumberingAfterBreak="0">
    <w:nsid w:val="FFFFFF7F"/>
    <w:multiLevelType w:val="singleLevel"/>
    <w:tmpl w:val="6B58ADE4"/>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FFFFFF80"/>
    <w:multiLevelType w:val="singleLevel"/>
    <w:tmpl w:val="2AB018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284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EE3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1CB5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C8CC8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EE9681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71F30"/>
    <w:multiLevelType w:val="hybridMultilevel"/>
    <w:tmpl w:val="6B483A6C"/>
    <w:lvl w:ilvl="0" w:tplc="BB8C820C">
      <w:start w:val="6"/>
      <w:numFmt w:val="bullet"/>
      <w:lvlText w:val="-"/>
      <w:lvlJc w:val="left"/>
      <w:pPr>
        <w:tabs>
          <w:tab w:val="num" w:pos="1800"/>
        </w:tabs>
        <w:ind w:left="1800" w:hanging="360"/>
      </w:pPr>
      <w:rPr>
        <w:rFonts w:ascii="Times New Roman" w:eastAsia="Times New Roman" w:hAnsi="Times New Roman" w:hint="default"/>
      </w:rPr>
    </w:lvl>
    <w:lvl w:ilvl="1" w:tplc="040D0003">
      <w:start w:val="1"/>
      <w:numFmt w:val="bullet"/>
      <w:lvlText w:val="o"/>
      <w:lvlJc w:val="left"/>
      <w:pPr>
        <w:tabs>
          <w:tab w:val="num" w:pos="2520"/>
        </w:tabs>
        <w:ind w:left="2520" w:hanging="360"/>
      </w:pPr>
      <w:rPr>
        <w:rFonts w:ascii="Courier New" w:hAnsi="Courier New" w:hint="default"/>
      </w:rPr>
    </w:lvl>
    <w:lvl w:ilvl="2" w:tplc="040D0005">
      <w:start w:val="1"/>
      <w:numFmt w:val="bullet"/>
      <w:lvlText w:val=""/>
      <w:lvlJc w:val="left"/>
      <w:pPr>
        <w:tabs>
          <w:tab w:val="num" w:pos="3240"/>
        </w:tabs>
        <w:ind w:left="3240" w:hanging="360"/>
      </w:pPr>
      <w:rPr>
        <w:rFonts w:ascii="Wingdings" w:hAnsi="Wingdings" w:hint="default"/>
      </w:rPr>
    </w:lvl>
    <w:lvl w:ilvl="3" w:tplc="040D0001">
      <w:start w:val="1"/>
      <w:numFmt w:val="bullet"/>
      <w:lvlText w:val=""/>
      <w:lvlJc w:val="left"/>
      <w:pPr>
        <w:tabs>
          <w:tab w:val="num" w:pos="3960"/>
        </w:tabs>
        <w:ind w:left="3960" w:hanging="360"/>
      </w:pPr>
      <w:rPr>
        <w:rFonts w:ascii="Symbol" w:hAnsi="Symbol" w:hint="default"/>
      </w:rPr>
    </w:lvl>
    <w:lvl w:ilvl="4" w:tplc="040D0003">
      <w:start w:val="1"/>
      <w:numFmt w:val="bullet"/>
      <w:lvlText w:val="o"/>
      <w:lvlJc w:val="left"/>
      <w:pPr>
        <w:tabs>
          <w:tab w:val="num" w:pos="4680"/>
        </w:tabs>
        <w:ind w:left="4680" w:hanging="360"/>
      </w:pPr>
      <w:rPr>
        <w:rFonts w:ascii="Courier New" w:hAnsi="Courier New" w:hint="default"/>
      </w:rPr>
    </w:lvl>
    <w:lvl w:ilvl="5" w:tplc="040D0005">
      <w:start w:val="1"/>
      <w:numFmt w:val="bullet"/>
      <w:lvlText w:val=""/>
      <w:lvlJc w:val="left"/>
      <w:pPr>
        <w:tabs>
          <w:tab w:val="num" w:pos="5400"/>
        </w:tabs>
        <w:ind w:left="5400" w:hanging="360"/>
      </w:pPr>
      <w:rPr>
        <w:rFonts w:ascii="Wingdings" w:hAnsi="Wingdings" w:hint="default"/>
      </w:rPr>
    </w:lvl>
    <w:lvl w:ilvl="6" w:tplc="040D0001">
      <w:start w:val="1"/>
      <w:numFmt w:val="bullet"/>
      <w:lvlText w:val=""/>
      <w:lvlJc w:val="left"/>
      <w:pPr>
        <w:tabs>
          <w:tab w:val="num" w:pos="6120"/>
        </w:tabs>
        <w:ind w:left="6120" w:hanging="360"/>
      </w:pPr>
      <w:rPr>
        <w:rFonts w:ascii="Symbol" w:hAnsi="Symbol" w:hint="default"/>
      </w:rPr>
    </w:lvl>
    <w:lvl w:ilvl="7" w:tplc="040D0003">
      <w:start w:val="1"/>
      <w:numFmt w:val="bullet"/>
      <w:lvlText w:val="o"/>
      <w:lvlJc w:val="left"/>
      <w:pPr>
        <w:tabs>
          <w:tab w:val="num" w:pos="6840"/>
        </w:tabs>
        <w:ind w:left="6840" w:hanging="360"/>
      </w:pPr>
      <w:rPr>
        <w:rFonts w:ascii="Courier New" w:hAnsi="Courier New" w:hint="default"/>
      </w:rPr>
    </w:lvl>
    <w:lvl w:ilvl="8" w:tplc="040D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74216E6"/>
    <w:multiLevelType w:val="multilevel"/>
    <w:tmpl w:val="75B2C9B6"/>
    <w:lvl w:ilvl="0">
      <w:start w:val="1"/>
      <w:numFmt w:val="none"/>
      <w:lvlText w:val="1."/>
      <w:lvlJc w:val="right"/>
      <w:pPr>
        <w:tabs>
          <w:tab w:val="num" w:pos="567"/>
        </w:tabs>
        <w:ind w:left="567" w:hanging="567"/>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15:restartNumberingAfterBreak="0">
    <w:nsid w:val="3BB55B3D"/>
    <w:multiLevelType w:val="multilevel"/>
    <w:tmpl w:val="C8448450"/>
    <w:lvl w:ilvl="0">
      <w:start w:val="1"/>
      <w:numFmt w:val="none"/>
      <w:lvlText w:val="1."/>
      <w:lvlJc w:val="right"/>
      <w:pPr>
        <w:tabs>
          <w:tab w:val="num" w:pos="1134"/>
        </w:tabs>
        <w:ind w:left="1134" w:hanging="567"/>
      </w:pPr>
      <w:rPr>
        <w:rFonts w:ascii="Times New Roman" w:hAnsi="Times New Roman" w:cs="Times New Roman" w:hint="default"/>
      </w:rPr>
    </w:lvl>
    <w:lvl w:ilvl="1">
      <w:start w:val="1"/>
      <w:numFmt w:val="none"/>
      <w:lvlText w:val="2."/>
      <w:lvlJc w:val="right"/>
      <w:pPr>
        <w:tabs>
          <w:tab w:val="num" w:pos="1134"/>
        </w:tabs>
        <w:ind w:left="1134" w:hanging="567"/>
      </w:pPr>
      <w:rPr>
        <w:rFonts w:ascii="Times New Roman" w:hAnsi="Times New Roman" w:cs="Times New Roman" w:hint="default"/>
      </w:rPr>
    </w:lvl>
    <w:lvl w:ilvl="2">
      <w:start w:val="1"/>
      <w:numFmt w:val="lowerRoman"/>
      <w:lvlText w:val="%3)"/>
      <w:lvlJc w:val="left"/>
      <w:pPr>
        <w:tabs>
          <w:tab w:val="num" w:pos="1647"/>
        </w:tabs>
        <w:ind w:left="1647" w:hanging="360"/>
      </w:pPr>
      <w:rPr>
        <w:rFonts w:ascii="Times New Roman" w:hAnsi="Times New Roman" w:cs="Times New Roman" w:hint="default"/>
      </w:rPr>
    </w:lvl>
    <w:lvl w:ilvl="3">
      <w:start w:val="1"/>
      <w:numFmt w:val="decimal"/>
      <w:lvlText w:val="(%4)"/>
      <w:lvlJc w:val="left"/>
      <w:pPr>
        <w:tabs>
          <w:tab w:val="num" w:pos="2007"/>
        </w:tabs>
        <w:ind w:left="2007" w:hanging="360"/>
      </w:pPr>
      <w:rPr>
        <w:rFonts w:ascii="Times New Roman" w:hAnsi="Times New Roman" w:cs="Times New Roman" w:hint="default"/>
      </w:rPr>
    </w:lvl>
    <w:lvl w:ilvl="4">
      <w:start w:val="1"/>
      <w:numFmt w:val="lowerLetter"/>
      <w:lvlText w:val="(%5)"/>
      <w:lvlJc w:val="left"/>
      <w:pPr>
        <w:tabs>
          <w:tab w:val="num" w:pos="2367"/>
        </w:tabs>
        <w:ind w:left="2367" w:hanging="360"/>
      </w:pPr>
      <w:rPr>
        <w:rFonts w:ascii="Times New Roman" w:hAnsi="Times New Roman" w:cs="Times New Roman" w:hint="default"/>
      </w:rPr>
    </w:lvl>
    <w:lvl w:ilvl="5">
      <w:start w:val="1"/>
      <w:numFmt w:val="lowerRoman"/>
      <w:lvlText w:val="(%6)"/>
      <w:lvlJc w:val="left"/>
      <w:pPr>
        <w:tabs>
          <w:tab w:val="num" w:pos="2727"/>
        </w:tabs>
        <w:ind w:left="2727" w:hanging="360"/>
      </w:pPr>
      <w:rPr>
        <w:rFonts w:ascii="Times New Roman" w:hAnsi="Times New Roman" w:cs="Times New Roman" w:hint="default"/>
      </w:rPr>
    </w:lvl>
    <w:lvl w:ilvl="6">
      <w:start w:val="1"/>
      <w:numFmt w:val="decimal"/>
      <w:lvlText w:val="%7."/>
      <w:lvlJc w:val="left"/>
      <w:pPr>
        <w:tabs>
          <w:tab w:val="num" w:pos="3087"/>
        </w:tabs>
        <w:ind w:left="3087" w:hanging="360"/>
      </w:pPr>
      <w:rPr>
        <w:rFonts w:ascii="Times New Roman" w:hAnsi="Times New Roman" w:cs="Times New Roman" w:hint="default"/>
      </w:rPr>
    </w:lvl>
    <w:lvl w:ilvl="7">
      <w:start w:val="1"/>
      <w:numFmt w:val="lowerLetter"/>
      <w:lvlText w:val="%8."/>
      <w:lvlJc w:val="left"/>
      <w:pPr>
        <w:tabs>
          <w:tab w:val="num" w:pos="3447"/>
        </w:tabs>
        <w:ind w:left="3447" w:hanging="360"/>
      </w:pPr>
      <w:rPr>
        <w:rFonts w:ascii="Times New Roman" w:hAnsi="Times New Roman" w:cs="Times New Roman" w:hint="default"/>
      </w:rPr>
    </w:lvl>
    <w:lvl w:ilvl="8">
      <w:start w:val="1"/>
      <w:numFmt w:val="lowerRoman"/>
      <w:lvlText w:val="%9."/>
      <w:lvlJc w:val="left"/>
      <w:pPr>
        <w:tabs>
          <w:tab w:val="num" w:pos="3807"/>
        </w:tabs>
        <w:ind w:left="3807" w:hanging="360"/>
      </w:pPr>
      <w:rPr>
        <w:rFonts w:ascii="Times New Roman" w:hAnsi="Times New Roman" w:cs="Times New Roman" w:hint="default"/>
      </w:rPr>
    </w:lvl>
  </w:abstractNum>
  <w:abstractNum w:abstractNumId="13" w15:restartNumberingAfterBreak="0">
    <w:nsid w:val="3F283415"/>
    <w:multiLevelType w:val="multilevel"/>
    <w:tmpl w:val="012EB472"/>
    <w:lvl w:ilvl="0">
      <w:start w:val="1"/>
      <w:numFmt w:val="decimal"/>
      <w:lvlText w:val="%1."/>
      <w:lvlJc w:val="right"/>
      <w:pPr>
        <w:tabs>
          <w:tab w:val="num" w:pos="567"/>
        </w:tabs>
        <w:ind w:left="567" w:hanging="397"/>
      </w:pPr>
      <w:rPr>
        <w:rFonts w:ascii="Times New Roman" w:hAnsi="Times New Roman" w:cs="Times New Roman" w:hint="default"/>
      </w:rPr>
    </w:lvl>
    <w:lvl w:ilvl="1">
      <w:start w:val="1"/>
      <w:numFmt w:val="decimal"/>
      <w:lvlText w:val="%1.%2."/>
      <w:lvlJc w:val="right"/>
      <w:pPr>
        <w:tabs>
          <w:tab w:val="num" w:pos="1134"/>
        </w:tabs>
        <w:ind w:left="1134" w:hanging="567"/>
      </w:pPr>
      <w:rPr>
        <w:rFonts w:ascii="Times New Roman" w:hAnsi="Times New Roman" w:cs="Times New Roman" w:hint="default"/>
      </w:rPr>
    </w:lvl>
    <w:lvl w:ilvl="2">
      <w:start w:val="1"/>
      <w:numFmt w:val="hebrew1"/>
      <w:lvlText w:val="%2.%1 (%3)"/>
      <w:lvlJc w:val="right"/>
      <w:pPr>
        <w:tabs>
          <w:tab w:val="num" w:pos="1701"/>
        </w:tabs>
        <w:ind w:left="1701" w:hanging="567"/>
      </w:pPr>
      <w:rPr>
        <w:rFonts w:ascii="Times New Roman" w:hAnsi="Times New Roman" w:cs="Times New Roman" w:hint="default"/>
      </w:rPr>
    </w:lvl>
    <w:lvl w:ilvl="3">
      <w:start w:val="1"/>
      <w:numFmt w:val="decimal"/>
      <w:lvlText w:val="%3 (%4)"/>
      <w:lvlJc w:val="right"/>
      <w:pPr>
        <w:tabs>
          <w:tab w:val="num" w:pos="2268"/>
        </w:tabs>
        <w:ind w:left="2268" w:hanging="567"/>
      </w:pPr>
      <w:rPr>
        <w:rFonts w:ascii="Times New Roman" w:hAnsi="Times New Roman" w:cs="Times New Roman" w:hint="default"/>
      </w:rPr>
    </w:lvl>
    <w:lvl w:ilvl="4">
      <w:start w:val="1"/>
      <w:numFmt w:val="lowerRoman"/>
      <w:lvlText w:val="(%5)"/>
      <w:lvlJc w:val="right"/>
      <w:pPr>
        <w:tabs>
          <w:tab w:val="num" w:pos="2835"/>
        </w:tabs>
        <w:ind w:left="2835" w:hanging="567"/>
      </w:pPr>
      <w:rPr>
        <w:rFonts w:ascii="Times New Roman" w:hAnsi="Times New Roman" w:cs="Times New Roman" w:hint="default"/>
      </w:rPr>
    </w:lvl>
    <w:lvl w:ilvl="5">
      <w:start w:val="1"/>
      <w:numFmt w:val="bullet"/>
      <w:lvlText w:val=""/>
      <w:lvlJc w:val="left"/>
      <w:pPr>
        <w:tabs>
          <w:tab w:val="num" w:pos="3402"/>
        </w:tabs>
        <w:ind w:left="3402" w:hanging="567"/>
      </w:pPr>
      <w:rPr>
        <w:rFonts w:ascii="Symbol" w:hAnsi="Symbol" w:hint="default"/>
        <w:color w:val="auto"/>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14" w15:restartNumberingAfterBreak="0">
    <w:nsid w:val="5A3E3819"/>
    <w:multiLevelType w:val="hybridMultilevel"/>
    <w:tmpl w:val="DA36CAEE"/>
    <w:lvl w:ilvl="0" w:tplc="B9CE8EE8">
      <w:start w:val="1"/>
      <w:numFmt w:val="decimal"/>
      <w:pStyle w:val="9"/>
      <w:lvlText w:val="%1."/>
      <w:lvlJc w:val="left"/>
      <w:pPr>
        <w:tabs>
          <w:tab w:val="num" w:pos="1800"/>
        </w:tabs>
        <w:ind w:left="1800" w:hanging="360"/>
      </w:pPr>
      <w:rPr>
        <w:rFonts w:ascii="Times New Roman" w:hAnsi="Times New Roman" w:cs="Times New Roman" w:hint="default"/>
      </w:rPr>
    </w:lvl>
    <w:lvl w:ilvl="1" w:tplc="040D0019">
      <w:start w:val="1"/>
      <w:numFmt w:val="lowerLetter"/>
      <w:lvlText w:val="%2."/>
      <w:lvlJc w:val="left"/>
      <w:pPr>
        <w:tabs>
          <w:tab w:val="num" w:pos="2520"/>
        </w:tabs>
        <w:ind w:left="2520" w:hanging="360"/>
      </w:pPr>
      <w:rPr>
        <w:rFonts w:ascii="Times New Roman" w:hAnsi="Times New Roman" w:cs="Times New Roman"/>
      </w:rPr>
    </w:lvl>
    <w:lvl w:ilvl="2" w:tplc="040D001B">
      <w:start w:val="1"/>
      <w:numFmt w:val="lowerRoman"/>
      <w:lvlText w:val="%3."/>
      <w:lvlJc w:val="right"/>
      <w:pPr>
        <w:tabs>
          <w:tab w:val="num" w:pos="3240"/>
        </w:tabs>
        <w:ind w:left="3240" w:hanging="180"/>
      </w:pPr>
      <w:rPr>
        <w:rFonts w:ascii="Times New Roman" w:hAnsi="Times New Roman" w:cs="Times New Roman"/>
      </w:rPr>
    </w:lvl>
    <w:lvl w:ilvl="3" w:tplc="040D000F">
      <w:start w:val="1"/>
      <w:numFmt w:val="decimal"/>
      <w:lvlText w:val="%4."/>
      <w:lvlJc w:val="left"/>
      <w:pPr>
        <w:tabs>
          <w:tab w:val="num" w:pos="3960"/>
        </w:tabs>
        <w:ind w:left="3960" w:hanging="360"/>
      </w:pPr>
      <w:rPr>
        <w:rFonts w:ascii="Times New Roman" w:hAnsi="Times New Roman" w:cs="Times New Roman"/>
      </w:rPr>
    </w:lvl>
    <w:lvl w:ilvl="4" w:tplc="040D0019">
      <w:start w:val="1"/>
      <w:numFmt w:val="lowerLetter"/>
      <w:lvlText w:val="%5."/>
      <w:lvlJc w:val="left"/>
      <w:pPr>
        <w:tabs>
          <w:tab w:val="num" w:pos="4680"/>
        </w:tabs>
        <w:ind w:left="4680" w:hanging="360"/>
      </w:pPr>
      <w:rPr>
        <w:rFonts w:ascii="Times New Roman" w:hAnsi="Times New Roman" w:cs="Times New Roman"/>
      </w:rPr>
    </w:lvl>
    <w:lvl w:ilvl="5" w:tplc="040D001B">
      <w:start w:val="1"/>
      <w:numFmt w:val="lowerRoman"/>
      <w:lvlText w:val="%6."/>
      <w:lvlJc w:val="right"/>
      <w:pPr>
        <w:tabs>
          <w:tab w:val="num" w:pos="5400"/>
        </w:tabs>
        <w:ind w:left="5400" w:hanging="180"/>
      </w:pPr>
      <w:rPr>
        <w:rFonts w:ascii="Times New Roman" w:hAnsi="Times New Roman" w:cs="Times New Roman"/>
      </w:rPr>
    </w:lvl>
    <w:lvl w:ilvl="6" w:tplc="040D000F">
      <w:start w:val="1"/>
      <w:numFmt w:val="decimal"/>
      <w:lvlText w:val="%7."/>
      <w:lvlJc w:val="left"/>
      <w:pPr>
        <w:tabs>
          <w:tab w:val="num" w:pos="6120"/>
        </w:tabs>
        <w:ind w:left="6120" w:hanging="360"/>
      </w:pPr>
      <w:rPr>
        <w:rFonts w:ascii="Times New Roman" w:hAnsi="Times New Roman" w:cs="Times New Roman"/>
      </w:rPr>
    </w:lvl>
    <w:lvl w:ilvl="7" w:tplc="040D0019">
      <w:start w:val="1"/>
      <w:numFmt w:val="lowerLetter"/>
      <w:lvlText w:val="%8."/>
      <w:lvlJc w:val="left"/>
      <w:pPr>
        <w:tabs>
          <w:tab w:val="num" w:pos="6840"/>
        </w:tabs>
        <w:ind w:left="6840" w:hanging="360"/>
      </w:pPr>
      <w:rPr>
        <w:rFonts w:ascii="Times New Roman" w:hAnsi="Times New Roman" w:cs="Times New Roman"/>
      </w:rPr>
    </w:lvl>
    <w:lvl w:ilvl="8" w:tplc="040D001B">
      <w:start w:val="1"/>
      <w:numFmt w:val="lowerRoman"/>
      <w:lvlText w:val="%9."/>
      <w:lvlJc w:val="right"/>
      <w:pPr>
        <w:tabs>
          <w:tab w:val="num" w:pos="7560"/>
        </w:tabs>
        <w:ind w:left="7560" w:hanging="180"/>
      </w:pPr>
      <w:rPr>
        <w:rFonts w:ascii="Times New Roman" w:hAnsi="Times New Roman" w:cs="Times New Roman"/>
      </w:rPr>
    </w:lvl>
  </w:abstractNum>
  <w:abstractNum w:abstractNumId="15" w15:restartNumberingAfterBreak="0">
    <w:nsid w:val="760562A6"/>
    <w:multiLevelType w:val="hybridMultilevel"/>
    <w:tmpl w:val="9B7C7A56"/>
    <w:lvl w:ilvl="0" w:tplc="5F8AC9FE">
      <w:start w:val="1"/>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11"/>
  </w:num>
  <w:num w:numId="42">
    <w:abstractNumId w:val="12"/>
  </w:num>
  <w:num w:numId="43">
    <w:abstractNumId w:val="13"/>
  </w:num>
  <w:num w:numId="44">
    <w:abstractNumId w:val="10"/>
  </w:num>
  <w:num w:numId="45">
    <w:abstractNumId w:val="1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37"/>
    <w:rsid w:val="00DC2437"/>
    <w:rsid w:val="00FB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D3388F"/>
  <w14:defaultImageDpi w14:val="0"/>
  <w15:docId w15:val="{DF202A9B-F256-48E6-9075-99CB0DE4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before="120" w:after="0" w:line="360" w:lineRule="auto"/>
      <w:jc w:val="both"/>
    </w:pPr>
    <w:rPr>
      <w:rFonts w:ascii="Times New Roman" w:hAnsi="Times New Roman" w:cs="Times New Roman"/>
      <w:szCs w:val="24"/>
      <w:lang w:eastAsia="he-IL"/>
    </w:rPr>
  </w:style>
  <w:style w:type="paragraph" w:styleId="1">
    <w:name w:val="heading 1"/>
    <w:basedOn w:val="a"/>
    <w:next w:val="a"/>
    <w:link w:val="10"/>
    <w:uiPriority w:val="99"/>
    <w:qFormat/>
    <w:pPr>
      <w:keepNext/>
      <w:keepLines/>
      <w:outlineLvl w:val="0"/>
    </w:pPr>
    <w:rPr>
      <w:b/>
      <w:bCs/>
      <w:kern w:val="32"/>
      <w:sz w:val="26"/>
      <w:szCs w:val="26"/>
      <w:u w:val="single"/>
    </w:rPr>
  </w:style>
  <w:style w:type="paragraph" w:styleId="2">
    <w:name w:val="heading 2"/>
    <w:basedOn w:val="a"/>
    <w:next w:val="a"/>
    <w:link w:val="20"/>
    <w:uiPriority w:val="99"/>
    <w:qFormat/>
    <w:pPr>
      <w:keepNext/>
      <w:keepLines/>
      <w:outlineLvl w:val="1"/>
    </w:pPr>
    <w:rPr>
      <w:b/>
      <w:bCs/>
    </w:rPr>
  </w:style>
  <w:style w:type="paragraph" w:styleId="3">
    <w:name w:val="heading 3"/>
    <w:basedOn w:val="a"/>
    <w:next w:val="a"/>
    <w:link w:val="30"/>
    <w:uiPriority w:val="99"/>
    <w:qFormat/>
    <w:pPr>
      <w:keepNext/>
      <w:keepLines/>
      <w:outlineLvl w:val="2"/>
    </w:pPr>
    <w:rPr>
      <w:b/>
      <w:bCs/>
    </w:rPr>
  </w:style>
  <w:style w:type="paragraph" w:styleId="4">
    <w:name w:val="heading 4"/>
    <w:basedOn w:val="a"/>
    <w:next w:val="a"/>
    <w:link w:val="40"/>
    <w:uiPriority w:val="99"/>
    <w:qFormat/>
    <w:pPr>
      <w:keepNext/>
      <w:keepLines/>
      <w:outlineLvl w:val="3"/>
    </w:pPr>
    <w:rPr>
      <w:b/>
      <w:bCs/>
    </w:rPr>
  </w:style>
  <w:style w:type="paragraph" w:styleId="5">
    <w:name w:val="heading 5"/>
    <w:basedOn w:val="a"/>
    <w:next w:val="a"/>
    <w:link w:val="50"/>
    <w:uiPriority w:val="99"/>
    <w:qFormat/>
    <w:pPr>
      <w:keepNext/>
      <w:keepLines/>
      <w:outlineLvl w:val="4"/>
    </w:pPr>
    <w:rPr>
      <w:b/>
      <w:bCs/>
    </w:rPr>
  </w:style>
  <w:style w:type="paragraph" w:styleId="6">
    <w:name w:val="heading 6"/>
    <w:basedOn w:val="a"/>
    <w:next w:val="a"/>
    <w:link w:val="60"/>
    <w:uiPriority w:val="99"/>
    <w:qFormat/>
    <w:pPr>
      <w:keepNext/>
      <w:keepLines/>
      <w:outlineLvl w:val="5"/>
    </w:pPr>
    <w:rPr>
      <w:b/>
      <w:bCs/>
    </w:rPr>
  </w:style>
  <w:style w:type="paragraph" w:styleId="7">
    <w:name w:val="heading 7"/>
    <w:basedOn w:val="a"/>
    <w:next w:val="a"/>
    <w:link w:val="70"/>
    <w:uiPriority w:val="99"/>
    <w:qFormat/>
    <w:pPr>
      <w:keepNext/>
      <w:tabs>
        <w:tab w:val="right" w:pos="654"/>
        <w:tab w:val="right" w:pos="1221"/>
      </w:tabs>
      <w:ind w:left="654" w:hanging="654"/>
      <w:outlineLvl w:val="6"/>
    </w:pPr>
    <w:rPr>
      <w:b/>
      <w:bCs/>
      <w:u w:val="single"/>
      <w:lang w:eastAsia="en-US"/>
    </w:rPr>
  </w:style>
  <w:style w:type="paragraph" w:styleId="8">
    <w:name w:val="heading 8"/>
    <w:basedOn w:val="a"/>
    <w:next w:val="a"/>
    <w:link w:val="80"/>
    <w:uiPriority w:val="99"/>
    <w:qFormat/>
    <w:pPr>
      <w:keepNext/>
      <w:tabs>
        <w:tab w:val="right" w:pos="654"/>
        <w:tab w:val="right" w:pos="1221"/>
      </w:tabs>
      <w:outlineLvl w:val="7"/>
    </w:pPr>
    <w:rPr>
      <w:b/>
      <w:bCs/>
      <w:lang w:eastAsia="en-US"/>
    </w:rPr>
  </w:style>
  <w:style w:type="paragraph" w:styleId="9">
    <w:name w:val="heading 9"/>
    <w:basedOn w:val="a"/>
    <w:next w:val="a"/>
    <w:link w:val="90"/>
    <w:uiPriority w:val="99"/>
    <w:qFormat/>
    <w:pPr>
      <w:keepNext/>
      <w:numPr>
        <w:numId w:val="45"/>
      </w:numPr>
      <w:outlineLvl w:val="8"/>
    </w:pPr>
    <w:rPr>
      <w:b/>
      <w:bC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lang w:eastAsia="he-IL"/>
    </w:rPr>
  </w:style>
  <w:style w:type="character" w:customStyle="1" w:styleId="20">
    <w:name w:val="כותרת 2 תו"/>
    <w:basedOn w:val="a0"/>
    <w:link w:val="2"/>
    <w:uiPriority w:val="9"/>
    <w:semiHidden/>
    <w:rPr>
      <w:rFonts w:asciiTheme="majorHAnsi" w:eastAsiaTheme="majorEastAsia" w:hAnsiTheme="majorHAnsi" w:cstheme="majorBidi"/>
      <w:b/>
      <w:bCs/>
      <w:i/>
      <w:iCs/>
      <w:sz w:val="28"/>
      <w:szCs w:val="28"/>
      <w:lang w:eastAsia="he-IL"/>
    </w:rPr>
  </w:style>
  <w:style w:type="character" w:customStyle="1" w:styleId="30">
    <w:name w:val="כותרת 3 תו"/>
    <w:basedOn w:val="a0"/>
    <w:link w:val="3"/>
    <w:uiPriority w:val="9"/>
    <w:semiHidden/>
    <w:rPr>
      <w:rFonts w:asciiTheme="majorHAnsi" w:eastAsiaTheme="majorEastAsia" w:hAnsiTheme="majorHAnsi" w:cstheme="majorBidi"/>
      <w:b/>
      <w:bCs/>
      <w:sz w:val="26"/>
      <w:szCs w:val="26"/>
      <w:lang w:eastAsia="he-IL"/>
    </w:rPr>
  </w:style>
  <w:style w:type="character" w:customStyle="1" w:styleId="40">
    <w:name w:val="כותרת 4 תו"/>
    <w:basedOn w:val="a0"/>
    <w:link w:val="4"/>
    <w:uiPriority w:val="9"/>
    <w:semiHidden/>
    <w:rPr>
      <w:b/>
      <w:bCs/>
      <w:sz w:val="28"/>
      <w:szCs w:val="28"/>
      <w:lang w:eastAsia="he-IL"/>
    </w:rPr>
  </w:style>
  <w:style w:type="character" w:customStyle="1" w:styleId="50">
    <w:name w:val="כותרת 5 תו"/>
    <w:basedOn w:val="a0"/>
    <w:link w:val="5"/>
    <w:uiPriority w:val="9"/>
    <w:semiHidden/>
    <w:rPr>
      <w:b/>
      <w:bCs/>
      <w:i/>
      <w:iCs/>
      <w:sz w:val="26"/>
      <w:szCs w:val="26"/>
      <w:lang w:eastAsia="he-IL"/>
    </w:rPr>
  </w:style>
  <w:style w:type="character" w:customStyle="1" w:styleId="60">
    <w:name w:val="כותרת 6 תו"/>
    <w:basedOn w:val="a0"/>
    <w:link w:val="6"/>
    <w:uiPriority w:val="9"/>
    <w:semiHidden/>
    <w:rPr>
      <w:b/>
      <w:bCs/>
      <w:lang w:eastAsia="he-IL"/>
    </w:rPr>
  </w:style>
  <w:style w:type="character" w:customStyle="1" w:styleId="70">
    <w:name w:val="כותרת 7 תו"/>
    <w:basedOn w:val="a0"/>
    <w:link w:val="7"/>
    <w:uiPriority w:val="9"/>
    <w:semiHidden/>
    <w:rPr>
      <w:sz w:val="24"/>
      <w:szCs w:val="24"/>
      <w:lang w:eastAsia="he-IL"/>
    </w:rPr>
  </w:style>
  <w:style w:type="character" w:customStyle="1" w:styleId="80">
    <w:name w:val="כותרת 8 תו"/>
    <w:basedOn w:val="a0"/>
    <w:link w:val="8"/>
    <w:uiPriority w:val="9"/>
    <w:semiHidden/>
    <w:rPr>
      <w:i/>
      <w:iCs/>
      <w:sz w:val="24"/>
      <w:szCs w:val="24"/>
      <w:lang w:eastAsia="he-IL"/>
    </w:rPr>
  </w:style>
  <w:style w:type="character" w:customStyle="1" w:styleId="90">
    <w:name w:val="כותרת 9 תו"/>
    <w:basedOn w:val="a0"/>
    <w:link w:val="9"/>
    <w:uiPriority w:val="99"/>
    <w:rPr>
      <w:rFonts w:ascii="Times New Roman" w:hAnsi="Times New Roman" w:cs="Times New Roman"/>
      <w:b/>
      <w:bCs/>
      <w:szCs w:val="24"/>
      <w:lang w:eastAsia="he-IL"/>
    </w:rPr>
  </w:style>
  <w:style w:type="paragraph" w:styleId="TOC1">
    <w:name w:val="toc 1"/>
    <w:basedOn w:val="a"/>
    <w:next w:val="a"/>
    <w:autoRedefine/>
    <w:uiPriority w:val="99"/>
    <w:pPr>
      <w:keepNext/>
      <w:keepLines/>
      <w:spacing w:before="240" w:after="120"/>
    </w:pPr>
    <w:rPr>
      <w:b/>
      <w:bCs/>
      <w:szCs w:val="22"/>
    </w:rPr>
  </w:style>
  <w:style w:type="paragraph" w:styleId="TOC2">
    <w:name w:val="toc 2"/>
    <w:basedOn w:val="a"/>
    <w:next w:val="a"/>
    <w:autoRedefine/>
    <w:uiPriority w:val="99"/>
    <w:pPr>
      <w:keepLines/>
      <w:spacing w:after="60"/>
      <w:ind w:left="238"/>
    </w:pPr>
    <w:rPr>
      <w:szCs w:val="22"/>
    </w:rPr>
  </w:style>
  <w:style w:type="paragraph" w:styleId="TOC3">
    <w:name w:val="toc 3"/>
    <w:basedOn w:val="a"/>
    <w:next w:val="a"/>
    <w:autoRedefine/>
    <w:uiPriority w:val="99"/>
    <w:pPr>
      <w:ind w:left="482"/>
    </w:pPr>
    <w:rPr>
      <w:szCs w:val="22"/>
    </w:rPr>
  </w:style>
  <w:style w:type="paragraph" w:styleId="TOC4">
    <w:name w:val="toc 4"/>
    <w:basedOn w:val="a"/>
    <w:next w:val="a"/>
    <w:autoRedefine/>
    <w:uiPriority w:val="99"/>
    <w:pPr>
      <w:ind w:left="720"/>
    </w:pPr>
    <w:rPr>
      <w:szCs w:val="22"/>
    </w:rPr>
  </w:style>
  <w:style w:type="paragraph" w:styleId="TOC5">
    <w:name w:val="toc 5"/>
    <w:basedOn w:val="a"/>
    <w:next w:val="a"/>
    <w:autoRedefine/>
    <w:uiPriority w:val="99"/>
    <w:pPr>
      <w:ind w:left="958"/>
    </w:pPr>
    <w:rPr>
      <w:szCs w:val="22"/>
    </w:rPr>
  </w:style>
  <w:style w:type="paragraph" w:styleId="TOC6">
    <w:name w:val="toc 6"/>
    <w:basedOn w:val="a"/>
    <w:next w:val="a"/>
    <w:autoRedefine/>
    <w:uiPriority w:val="99"/>
    <w:pPr>
      <w:ind w:left="1202"/>
    </w:pPr>
    <w:rPr>
      <w:szCs w:val="22"/>
    </w:rPr>
  </w:style>
  <w:style w:type="paragraph" w:styleId="a3">
    <w:name w:val="Signature"/>
    <w:basedOn w:val="a"/>
    <w:link w:val="a4"/>
    <w:uiPriority w:val="99"/>
    <w:pPr>
      <w:ind w:left="3686"/>
      <w:jc w:val="center"/>
    </w:pPr>
  </w:style>
  <w:style w:type="character" w:customStyle="1" w:styleId="a4">
    <w:name w:val="חתימה תו"/>
    <w:basedOn w:val="a0"/>
    <w:link w:val="a3"/>
    <w:uiPriority w:val="99"/>
    <w:semiHidden/>
    <w:rPr>
      <w:rFonts w:ascii="Times New Roman" w:hAnsi="Times New Roman" w:cs="Times New Roman"/>
      <w:szCs w:val="24"/>
      <w:lang w:eastAsia="he-IL"/>
    </w:rPr>
  </w:style>
  <w:style w:type="paragraph" w:styleId="a5">
    <w:name w:val="Salutation"/>
    <w:basedOn w:val="a"/>
    <w:next w:val="a"/>
    <w:link w:val="a6"/>
    <w:uiPriority w:val="99"/>
    <w:rPr>
      <w:b/>
      <w:bCs/>
    </w:rPr>
  </w:style>
  <w:style w:type="character" w:customStyle="1" w:styleId="a6">
    <w:name w:val="ברכה תו"/>
    <w:basedOn w:val="a0"/>
    <w:link w:val="a5"/>
    <w:uiPriority w:val="99"/>
    <w:semiHidden/>
    <w:rPr>
      <w:rFonts w:ascii="Times New Roman" w:hAnsi="Times New Roman" w:cs="Times New Roman"/>
      <w:szCs w:val="24"/>
      <w:lang w:eastAsia="he-IL"/>
    </w:rPr>
  </w:style>
  <w:style w:type="paragraph" w:styleId="a7">
    <w:name w:val="List Number"/>
    <w:basedOn w:val="a"/>
    <w:uiPriority w:val="99"/>
    <w:pPr>
      <w:numPr>
        <w:numId w:val="11"/>
      </w:numPr>
      <w:tabs>
        <w:tab w:val="left" w:leader="dot" w:pos="567"/>
      </w:tabs>
    </w:pPr>
  </w:style>
  <w:style w:type="paragraph" w:styleId="21">
    <w:name w:val="List Number 2"/>
    <w:basedOn w:val="a"/>
    <w:uiPriority w:val="99"/>
    <w:pPr>
      <w:numPr>
        <w:numId w:val="12"/>
      </w:numPr>
      <w:tabs>
        <w:tab w:val="left" w:pos="1134"/>
      </w:tabs>
    </w:pPr>
  </w:style>
  <w:style w:type="paragraph" w:styleId="31">
    <w:name w:val="List Number 3"/>
    <w:basedOn w:val="a"/>
    <w:uiPriority w:val="99"/>
    <w:pPr>
      <w:numPr>
        <w:numId w:val="13"/>
      </w:numPr>
      <w:tabs>
        <w:tab w:val="left" w:pos="1701"/>
      </w:tabs>
    </w:pPr>
  </w:style>
  <w:style w:type="paragraph" w:styleId="41">
    <w:name w:val="List Number 4"/>
    <w:basedOn w:val="a"/>
    <w:uiPriority w:val="99"/>
    <w:pPr>
      <w:numPr>
        <w:numId w:val="14"/>
      </w:numPr>
      <w:tabs>
        <w:tab w:val="left" w:pos="2268"/>
      </w:tabs>
    </w:pPr>
  </w:style>
  <w:style w:type="paragraph" w:styleId="51">
    <w:name w:val="List Number 5"/>
    <w:basedOn w:val="a"/>
    <w:uiPriority w:val="99"/>
    <w:pPr>
      <w:numPr>
        <w:numId w:val="15"/>
      </w:numPr>
      <w:tabs>
        <w:tab w:val="left" w:pos="2835"/>
      </w:tabs>
    </w:pPr>
  </w:style>
  <w:style w:type="paragraph" w:styleId="a8">
    <w:name w:val="List Bullet"/>
    <w:basedOn w:val="a"/>
    <w:autoRedefine/>
    <w:uiPriority w:val="99"/>
    <w:pPr>
      <w:numPr>
        <w:numId w:val="16"/>
      </w:numPr>
      <w:tabs>
        <w:tab w:val="left" w:pos="567"/>
      </w:tabs>
    </w:pPr>
  </w:style>
  <w:style w:type="paragraph" w:styleId="22">
    <w:name w:val="List Bullet 2"/>
    <w:basedOn w:val="a"/>
    <w:autoRedefine/>
    <w:uiPriority w:val="99"/>
    <w:pPr>
      <w:numPr>
        <w:numId w:val="17"/>
      </w:numPr>
      <w:tabs>
        <w:tab w:val="left" w:pos="1134"/>
      </w:tabs>
    </w:pPr>
  </w:style>
  <w:style w:type="paragraph" w:styleId="32">
    <w:name w:val="List Bullet 3"/>
    <w:basedOn w:val="a"/>
    <w:autoRedefine/>
    <w:uiPriority w:val="99"/>
    <w:pPr>
      <w:numPr>
        <w:numId w:val="18"/>
      </w:numPr>
      <w:tabs>
        <w:tab w:val="left" w:pos="1701"/>
      </w:tabs>
    </w:pPr>
  </w:style>
  <w:style w:type="paragraph" w:styleId="42">
    <w:name w:val="List Bullet 4"/>
    <w:basedOn w:val="a"/>
    <w:autoRedefine/>
    <w:uiPriority w:val="99"/>
    <w:pPr>
      <w:numPr>
        <w:numId w:val="19"/>
      </w:numPr>
      <w:tabs>
        <w:tab w:val="left" w:pos="2268"/>
      </w:tabs>
    </w:pPr>
  </w:style>
  <w:style w:type="paragraph" w:styleId="52">
    <w:name w:val="List Bullet 5"/>
    <w:basedOn w:val="a"/>
    <w:autoRedefine/>
    <w:uiPriority w:val="99"/>
    <w:pPr>
      <w:numPr>
        <w:numId w:val="20"/>
      </w:numPr>
      <w:tabs>
        <w:tab w:val="left" w:pos="2835"/>
      </w:tabs>
    </w:pPr>
  </w:style>
  <w:style w:type="paragraph" w:customStyle="1" w:styleId="11">
    <w:name w:val="סגנון1"/>
    <w:basedOn w:val="a"/>
    <w:autoRedefine/>
    <w:uiPriority w:val="99"/>
  </w:style>
  <w:style w:type="paragraph" w:customStyle="1" w:styleId="AfterHeading2">
    <w:name w:val="After Heading 2"/>
    <w:basedOn w:val="a"/>
    <w:autoRedefine/>
    <w:uiPriority w:val="99"/>
    <w:pPr>
      <w:ind w:left="170"/>
    </w:pPr>
  </w:style>
  <w:style w:type="paragraph" w:customStyle="1" w:styleId="AfterHeading3">
    <w:name w:val="After Heading 3"/>
    <w:basedOn w:val="a"/>
    <w:autoRedefine/>
    <w:uiPriority w:val="99"/>
    <w:pPr>
      <w:ind w:left="510"/>
    </w:pPr>
  </w:style>
  <w:style w:type="paragraph" w:customStyle="1" w:styleId="AfterHeading4">
    <w:name w:val="After Heading 4"/>
    <w:basedOn w:val="a"/>
    <w:autoRedefine/>
    <w:uiPriority w:val="99"/>
    <w:pPr>
      <w:ind w:left="1247"/>
    </w:pPr>
  </w:style>
  <w:style w:type="paragraph" w:customStyle="1" w:styleId="AfterHeading5">
    <w:name w:val="After Heading 5"/>
    <w:basedOn w:val="a"/>
    <w:autoRedefine/>
    <w:uiPriority w:val="99"/>
    <w:pPr>
      <w:ind w:left="2098"/>
    </w:pPr>
  </w:style>
  <w:style w:type="paragraph" w:customStyle="1" w:styleId="AfterHeading6">
    <w:name w:val="After Heading 6"/>
    <w:basedOn w:val="a"/>
    <w:autoRedefine/>
    <w:uiPriority w:val="99"/>
    <w:pPr>
      <w:ind w:left="2892"/>
    </w:pPr>
  </w:style>
  <w:style w:type="paragraph" w:customStyle="1" w:styleId="AfterHeading1">
    <w:name w:val="After Heading 1"/>
    <w:basedOn w:val="a"/>
    <w:autoRedefine/>
    <w:uiPriority w:val="99"/>
  </w:style>
  <w:style w:type="paragraph" w:styleId="a9">
    <w:name w:val="footnote text"/>
    <w:basedOn w:val="a"/>
    <w:link w:val="aa"/>
    <w:uiPriority w:val="99"/>
    <w:pPr>
      <w:suppressAutoHyphens/>
      <w:spacing w:after="120"/>
    </w:pPr>
    <w:rPr>
      <w:szCs w:val="20"/>
    </w:rPr>
  </w:style>
  <w:style w:type="character" w:customStyle="1" w:styleId="aa">
    <w:name w:val="טקסט הערת שוליים תו"/>
    <w:basedOn w:val="a0"/>
    <w:link w:val="a9"/>
    <w:uiPriority w:val="99"/>
    <w:semiHidden/>
    <w:rPr>
      <w:rFonts w:ascii="Times New Roman" w:hAnsi="Times New Roman" w:cs="Times New Roman"/>
      <w:sz w:val="20"/>
      <w:szCs w:val="20"/>
      <w:lang w:eastAsia="he-IL"/>
    </w:rPr>
  </w:style>
  <w:style w:type="character" w:styleId="ab">
    <w:name w:val="footnote reference"/>
    <w:basedOn w:val="a0"/>
    <w:uiPriority w:val="99"/>
    <w:rPr>
      <w:rFonts w:ascii="Times New Roman" w:hAnsi="Times New Roman" w:cs="Times New Roman"/>
      <w:sz w:val="20"/>
      <w:vertAlign w:val="superscript"/>
      <w:lang w:val="x-none" w:eastAsia="he-IL" w:bidi="he-IL"/>
    </w:rPr>
  </w:style>
  <w:style w:type="paragraph" w:customStyle="1" w:styleId="FootnoteText-1">
    <w:name w:val="Footnote Text-1"/>
    <w:basedOn w:val="a"/>
    <w:uiPriority w:val="99"/>
    <w:pPr>
      <w:suppressAutoHyphens/>
      <w:spacing w:after="120"/>
    </w:pPr>
    <w:rPr>
      <w:szCs w:val="20"/>
    </w:rPr>
  </w:style>
  <w:style w:type="paragraph" w:styleId="ac">
    <w:name w:val="header"/>
    <w:basedOn w:val="a"/>
    <w:link w:val="ad"/>
    <w:uiPriority w:val="99"/>
    <w:pPr>
      <w:tabs>
        <w:tab w:val="center" w:pos="4153"/>
        <w:tab w:val="right" w:pos="8306"/>
      </w:tabs>
    </w:pPr>
  </w:style>
  <w:style w:type="character" w:customStyle="1" w:styleId="ad">
    <w:name w:val="כותרת עליונה תו"/>
    <w:basedOn w:val="a0"/>
    <w:link w:val="ac"/>
    <w:uiPriority w:val="99"/>
    <w:semiHidden/>
    <w:rPr>
      <w:rFonts w:ascii="Times New Roman" w:hAnsi="Times New Roman" w:cs="Times New Roman"/>
      <w:szCs w:val="24"/>
      <w:lang w:eastAsia="he-IL"/>
    </w:rPr>
  </w:style>
  <w:style w:type="paragraph" w:styleId="ae">
    <w:name w:val="footer"/>
    <w:basedOn w:val="a"/>
    <w:link w:val="af"/>
    <w:uiPriority w:val="99"/>
    <w:pPr>
      <w:tabs>
        <w:tab w:val="center" w:pos="4153"/>
        <w:tab w:val="right" w:pos="8306"/>
      </w:tabs>
    </w:pPr>
  </w:style>
  <w:style w:type="character" w:customStyle="1" w:styleId="af">
    <w:name w:val="כותרת תחתונה תו"/>
    <w:basedOn w:val="a0"/>
    <w:link w:val="ae"/>
    <w:uiPriority w:val="99"/>
    <w:semiHidden/>
    <w:rPr>
      <w:rFonts w:ascii="Times New Roman" w:hAnsi="Times New Roman" w:cs="Times New Roman"/>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5094</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Antitrust Authority</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rashut</dc:creator>
  <cp:keywords/>
  <dc:description/>
  <cp:lastModifiedBy>משתמש</cp:lastModifiedBy>
  <cp:revision>2</cp:revision>
  <dcterms:created xsi:type="dcterms:W3CDTF">2019-07-15T07:25:00Z</dcterms:created>
  <dcterms:modified xsi:type="dcterms:W3CDTF">2019-07-15T07:25:00Z</dcterms:modified>
</cp:coreProperties>
</file>