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7D68C" w14:textId="77777777" w:rsidR="00000000" w:rsidRDefault="002F6856">
      <w:pPr>
        <w:pStyle w:val="a3"/>
        <w:framePr w:wrap="auto" w:vAnchor="text" w:hAnchor="margin" w:xAlign="center" w:y="1"/>
        <w:jc w:val="left"/>
        <w:rPr>
          <w:rStyle w:val="ad"/>
          <w:b/>
          <w:bCs/>
          <w:szCs w:val="20"/>
        </w:rPr>
      </w:pPr>
      <w:bookmarkStart w:id="0" w:name="_GoBack"/>
      <w:bookmarkEnd w:id="0"/>
      <w:r>
        <w:rPr>
          <w:rStyle w:val="ad"/>
          <w:b/>
          <w:bCs/>
          <w:szCs w:val="20"/>
        </w:rPr>
        <w:t>3</w:t>
      </w:r>
    </w:p>
    <w:p w14:paraId="3EBEA222" w14:textId="77777777" w:rsidR="00000000" w:rsidRDefault="002F6856">
      <w:pPr>
        <w:snapToGrid/>
        <w:spacing w:line="360" w:lineRule="auto"/>
        <w:jc w:val="both"/>
        <w:rPr>
          <w:rFonts w:eastAsiaTheme="minorEastAsia" w:cs="David"/>
          <w:b/>
          <w:bCs/>
          <w:sz w:val="24"/>
          <w:rtl/>
        </w:rPr>
      </w:pPr>
      <w:r>
        <w:rPr>
          <w:rFonts w:eastAsiaTheme="minorEastAsia"/>
          <w:b/>
          <w:bCs/>
          <w:sz w:val="24"/>
          <w:rtl/>
        </w:rPr>
        <w:t> </w:t>
      </w:r>
    </w:p>
    <w:p w14:paraId="325ED40F" w14:textId="77777777" w:rsidR="00000000" w:rsidRDefault="002F6856">
      <w:pPr>
        <w:snapToGrid/>
        <w:spacing w:line="360" w:lineRule="auto"/>
        <w:jc w:val="center"/>
        <w:rPr>
          <w:rFonts w:eastAsiaTheme="minorEastAsia" w:cs="David"/>
          <w:b/>
          <w:bCs/>
          <w:sz w:val="24"/>
          <w:rtl/>
        </w:rPr>
      </w:pPr>
      <w:r>
        <w:rPr>
          <w:rFonts w:eastAsiaTheme="minorEastAsia"/>
          <w:b/>
          <w:bCs/>
          <w:sz w:val="24"/>
        </w:rPr>
        <w:t xml:space="preserve">    </w:t>
      </w:r>
    </w:p>
    <w:p w14:paraId="7AFA17E4" w14:textId="77777777" w:rsidR="00000000" w:rsidRDefault="002F6856">
      <w:pPr>
        <w:snapToGrid/>
        <w:spacing w:line="360" w:lineRule="auto"/>
        <w:jc w:val="center"/>
        <w:rPr>
          <w:rFonts w:eastAsiaTheme="minorEastAsia" w:cs="David"/>
          <w:b/>
          <w:bCs/>
          <w:sz w:val="24"/>
          <w:rtl/>
        </w:rPr>
      </w:pPr>
      <w:r>
        <w:rPr>
          <w:rFonts w:eastAsiaTheme="minorEastAsia"/>
          <w:b/>
          <w:bCs/>
          <w:sz w:val="32"/>
          <w:szCs w:val="32"/>
          <w:rtl/>
        </w:rPr>
        <w:t>בתי המשפט</w:t>
      </w:r>
      <w:r>
        <w:rPr>
          <w:rFonts w:eastAsiaTheme="minorEastAsia"/>
          <w:b/>
          <w:bCs/>
          <w:sz w:val="24"/>
          <w:rtl/>
        </w:rPr>
        <w:t xml:space="preserve"> </w:t>
      </w:r>
    </w:p>
    <w:tbl>
      <w:tblPr>
        <w:bidiVisual/>
        <w:tblW w:w="0" w:type="auto"/>
        <w:tblInd w:w="31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430"/>
        <w:gridCol w:w="688"/>
        <w:gridCol w:w="2195"/>
      </w:tblGrid>
      <w:tr w:rsidR="00000000" w14:paraId="543D65FF" w14:textId="77777777">
        <w:trPr>
          <w:trHeight w:val="195"/>
        </w:trPr>
        <w:tc>
          <w:tcPr>
            <w:tcW w:w="8529" w:type="dxa"/>
            <w:gridSpan w:val="3"/>
            <w:tcBorders>
              <w:top w:val="single" w:sz="4" w:space="0" w:color="auto"/>
              <w:bottom w:val="single" w:sz="4" w:space="0" w:color="auto"/>
            </w:tcBorders>
          </w:tcPr>
          <w:p w14:paraId="67737ADD" w14:textId="77777777" w:rsidR="00000000" w:rsidRDefault="002F6856">
            <w:pPr>
              <w:snapToGrid/>
              <w:spacing w:line="195" w:lineRule="atLeast"/>
              <w:jc w:val="center"/>
              <w:rPr>
                <w:rFonts w:eastAsiaTheme="minorEastAsia" w:cs="David"/>
                <w:b/>
                <w:bCs/>
                <w:spacing w:val="110"/>
                <w:sz w:val="40"/>
                <w:szCs w:val="40"/>
              </w:rPr>
            </w:pPr>
            <w:r>
              <w:rPr>
                <w:rFonts w:eastAsiaTheme="minorEastAsia"/>
                <w:sz w:val="24"/>
                <w:rtl/>
              </w:rPr>
              <w:t> </w:t>
            </w:r>
          </w:p>
        </w:tc>
      </w:tr>
      <w:tr w:rsidR="00000000" w14:paraId="408D39A8" w14:textId="77777777">
        <w:trPr>
          <w:cantSplit/>
          <w:trHeight w:val="195"/>
        </w:trPr>
        <w:tc>
          <w:tcPr>
            <w:tcW w:w="5614" w:type="dxa"/>
            <w:vMerge w:val="restart"/>
            <w:tcBorders>
              <w:top w:val="single" w:sz="4" w:space="0" w:color="auto"/>
              <w:bottom w:val="single" w:sz="4" w:space="0" w:color="auto"/>
              <w:right w:val="single" w:sz="4" w:space="0" w:color="auto"/>
            </w:tcBorders>
          </w:tcPr>
          <w:p w14:paraId="527ECF30" w14:textId="77777777" w:rsidR="00000000" w:rsidRDefault="002F6856">
            <w:pPr>
              <w:snapToGrid/>
              <w:spacing w:line="360" w:lineRule="auto"/>
              <w:jc w:val="both"/>
              <w:rPr>
                <w:rFonts w:eastAsiaTheme="minorEastAsia" w:cs="David"/>
                <w:b/>
                <w:bCs/>
                <w:szCs w:val="22"/>
              </w:rPr>
            </w:pPr>
            <w:r>
              <w:rPr>
                <w:rFonts w:eastAsiaTheme="minorEastAsia"/>
                <w:b/>
                <w:bCs/>
                <w:sz w:val="22"/>
                <w:szCs w:val="22"/>
                <w:rtl/>
              </w:rPr>
              <w:t>בימ"ש לעניינים מינהליים חיפה</w:t>
            </w:r>
          </w:p>
        </w:tc>
        <w:tc>
          <w:tcPr>
            <w:tcW w:w="2915" w:type="dxa"/>
            <w:gridSpan w:val="2"/>
            <w:tcBorders>
              <w:top w:val="single" w:sz="4" w:space="0" w:color="auto"/>
              <w:left w:val="single" w:sz="4" w:space="0" w:color="auto"/>
              <w:bottom w:val="single" w:sz="4" w:space="0" w:color="auto"/>
            </w:tcBorders>
          </w:tcPr>
          <w:p w14:paraId="65DF3F53" w14:textId="77777777" w:rsidR="00000000" w:rsidRDefault="002F6856">
            <w:pPr>
              <w:snapToGrid/>
              <w:spacing w:line="360" w:lineRule="auto"/>
              <w:jc w:val="both"/>
              <w:rPr>
                <w:rFonts w:eastAsiaTheme="minorEastAsia" w:cs="David"/>
                <w:b/>
                <w:bCs/>
                <w:szCs w:val="22"/>
              </w:rPr>
            </w:pPr>
            <w:r>
              <w:rPr>
                <w:rFonts w:eastAsiaTheme="minorEastAsia"/>
                <w:b/>
                <w:bCs/>
                <w:sz w:val="22"/>
                <w:szCs w:val="22"/>
                <w:rtl/>
              </w:rPr>
              <w:t>עתמ003094/06</w:t>
            </w:r>
          </w:p>
        </w:tc>
      </w:tr>
      <w:tr w:rsidR="00000000" w14:paraId="0ED07ED5" w14:textId="77777777">
        <w:trPr>
          <w:cantSplit/>
          <w:trHeight w:val="195"/>
        </w:trPr>
        <w:tc>
          <w:tcPr>
            <w:tcW w:w="0" w:type="auto"/>
            <w:vMerge/>
            <w:tcBorders>
              <w:top w:val="single" w:sz="4" w:space="0" w:color="auto"/>
              <w:bottom w:val="single" w:sz="4" w:space="0" w:color="auto"/>
              <w:right w:val="single" w:sz="4" w:space="0" w:color="auto"/>
            </w:tcBorders>
            <w:vAlign w:val="center"/>
          </w:tcPr>
          <w:p w14:paraId="04E9A818" w14:textId="77777777" w:rsidR="00000000" w:rsidRDefault="002F6856">
            <w:pPr>
              <w:bidi w:val="0"/>
              <w:snapToGrid/>
              <w:rPr>
                <w:rFonts w:eastAsiaTheme="minorEastAsia" w:cs="David"/>
                <w:b/>
                <w:bCs/>
                <w:sz w:val="24"/>
                <w:szCs w:val="22"/>
              </w:rPr>
            </w:pPr>
          </w:p>
        </w:tc>
        <w:tc>
          <w:tcPr>
            <w:tcW w:w="2915" w:type="dxa"/>
            <w:gridSpan w:val="2"/>
            <w:tcBorders>
              <w:top w:val="single" w:sz="4" w:space="0" w:color="auto"/>
              <w:left w:val="single" w:sz="4" w:space="0" w:color="auto"/>
              <w:bottom w:val="single" w:sz="4" w:space="0" w:color="auto"/>
            </w:tcBorders>
          </w:tcPr>
          <w:p w14:paraId="12E24DD4" w14:textId="77777777" w:rsidR="00000000" w:rsidRDefault="002F6856">
            <w:pPr>
              <w:snapToGrid/>
              <w:spacing w:line="360" w:lineRule="auto"/>
              <w:jc w:val="both"/>
              <w:rPr>
                <w:rFonts w:eastAsiaTheme="minorEastAsia" w:cs="David"/>
                <w:b/>
                <w:bCs/>
                <w:szCs w:val="22"/>
              </w:rPr>
            </w:pPr>
            <w:r>
              <w:rPr>
                <w:rFonts w:eastAsiaTheme="minorEastAsia"/>
                <w:sz w:val="24"/>
                <w:rtl/>
              </w:rPr>
              <w:t> </w:t>
            </w:r>
          </w:p>
        </w:tc>
      </w:tr>
      <w:tr w:rsidR="00000000" w14:paraId="70C3481D" w14:textId="77777777">
        <w:trPr>
          <w:trHeight w:val="286"/>
        </w:trPr>
        <w:tc>
          <w:tcPr>
            <w:tcW w:w="5614" w:type="dxa"/>
            <w:tcBorders>
              <w:top w:val="single" w:sz="4" w:space="0" w:color="auto"/>
              <w:bottom w:val="single" w:sz="4" w:space="0" w:color="auto"/>
              <w:right w:val="single" w:sz="4" w:space="0" w:color="auto"/>
            </w:tcBorders>
          </w:tcPr>
          <w:p w14:paraId="6F9E696C" w14:textId="77777777" w:rsidR="00000000" w:rsidRDefault="002F6856">
            <w:pPr>
              <w:snapToGrid/>
              <w:spacing w:line="360" w:lineRule="auto"/>
              <w:jc w:val="both"/>
              <w:rPr>
                <w:rFonts w:eastAsiaTheme="minorEastAsia" w:cs="David"/>
                <w:b/>
                <w:bCs/>
                <w:szCs w:val="22"/>
              </w:rPr>
            </w:pPr>
            <w:r>
              <w:rPr>
                <w:rFonts w:eastAsiaTheme="minorEastAsia"/>
                <w:b/>
                <w:bCs/>
                <w:sz w:val="22"/>
                <w:szCs w:val="22"/>
                <w:rtl/>
              </w:rPr>
              <w:t>בפני כב' השופט: ר. שפירא</w:t>
            </w:r>
          </w:p>
        </w:tc>
        <w:tc>
          <w:tcPr>
            <w:tcW w:w="68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tcPr>
          <w:p w14:paraId="2B3F4F58" w14:textId="77777777" w:rsidR="00000000" w:rsidRDefault="002F6856">
            <w:pPr>
              <w:snapToGrid/>
              <w:spacing w:line="360" w:lineRule="auto"/>
              <w:jc w:val="both"/>
              <w:rPr>
                <w:rFonts w:eastAsiaTheme="minorEastAsia" w:cs="David"/>
                <w:b/>
                <w:bCs/>
                <w:szCs w:val="22"/>
              </w:rPr>
            </w:pPr>
            <w:r>
              <w:rPr>
                <w:rFonts w:eastAsiaTheme="minorEastAsia"/>
                <w:b/>
                <w:bCs/>
                <w:sz w:val="22"/>
                <w:szCs w:val="22"/>
                <w:rtl/>
              </w:rPr>
              <w:t>תאריך:</w:t>
            </w:r>
          </w:p>
        </w:tc>
        <w:tc>
          <w:tcPr>
            <w:tcW w:w="2235" w:type="dxa"/>
            <w:tcBorders>
              <w:top w:val="single" w:sz="4" w:space="0" w:color="auto"/>
              <w:left w:val="single" w:sz="4" w:space="0" w:color="auto"/>
              <w:bottom w:val="single" w:sz="4" w:space="0" w:color="auto"/>
            </w:tcBorders>
          </w:tcPr>
          <w:p w14:paraId="36D3A73B" w14:textId="77777777" w:rsidR="00000000" w:rsidRDefault="002F6856">
            <w:pPr>
              <w:snapToGrid/>
              <w:spacing w:line="360" w:lineRule="auto"/>
              <w:jc w:val="both"/>
              <w:rPr>
                <w:rFonts w:eastAsiaTheme="minorEastAsia" w:cs="David"/>
                <w:b/>
                <w:bCs/>
                <w:szCs w:val="22"/>
              </w:rPr>
            </w:pPr>
            <w:r>
              <w:rPr>
                <w:rFonts w:eastAsiaTheme="minorEastAsia"/>
                <w:b/>
                <w:bCs/>
                <w:sz w:val="22"/>
                <w:szCs w:val="22"/>
                <w:rtl/>
              </w:rPr>
              <w:t>28/05/2006</w:t>
            </w:r>
          </w:p>
        </w:tc>
      </w:tr>
      <w:tr w:rsidR="00000000" w14:paraId="7CF6E979" w14:textId="77777777">
        <w:tc>
          <w:tcPr>
            <w:tcW w:w="5610" w:type="dxa"/>
            <w:tcBorders>
              <w:top w:val="nil"/>
              <w:left w:val="nil"/>
              <w:bottom w:val="nil"/>
              <w:right w:val="nil"/>
            </w:tcBorders>
            <w:vAlign w:val="center"/>
          </w:tcPr>
          <w:p w14:paraId="0EB27DE5" w14:textId="77777777" w:rsidR="00000000" w:rsidRDefault="002F6856">
            <w:pPr>
              <w:bidi w:val="0"/>
              <w:snapToGrid/>
              <w:rPr>
                <w:rFonts w:eastAsiaTheme="minorEastAsia"/>
                <w:sz w:val="24"/>
              </w:rPr>
            </w:pPr>
          </w:p>
        </w:tc>
        <w:tc>
          <w:tcPr>
            <w:tcW w:w="690" w:type="dxa"/>
            <w:tcBorders>
              <w:top w:val="nil"/>
              <w:left w:val="nil"/>
              <w:bottom w:val="nil"/>
              <w:right w:val="nil"/>
            </w:tcBorders>
            <w:vAlign w:val="center"/>
          </w:tcPr>
          <w:p w14:paraId="70946952" w14:textId="77777777" w:rsidR="00000000" w:rsidRDefault="002F6856">
            <w:pPr>
              <w:bidi w:val="0"/>
              <w:snapToGrid/>
              <w:rPr>
                <w:rFonts w:eastAsiaTheme="minorEastAsia"/>
                <w:sz w:val="24"/>
              </w:rPr>
            </w:pPr>
          </w:p>
        </w:tc>
        <w:tc>
          <w:tcPr>
            <w:tcW w:w="2235" w:type="dxa"/>
            <w:tcBorders>
              <w:top w:val="nil"/>
              <w:left w:val="nil"/>
              <w:bottom w:val="nil"/>
              <w:right w:val="nil"/>
            </w:tcBorders>
            <w:vAlign w:val="center"/>
          </w:tcPr>
          <w:p w14:paraId="0899524C" w14:textId="77777777" w:rsidR="00000000" w:rsidRDefault="002F6856">
            <w:pPr>
              <w:bidi w:val="0"/>
              <w:snapToGrid/>
              <w:rPr>
                <w:rFonts w:eastAsiaTheme="minorEastAsia"/>
                <w:sz w:val="24"/>
              </w:rPr>
            </w:pPr>
          </w:p>
        </w:tc>
      </w:tr>
    </w:tbl>
    <w:p w14:paraId="2767CC2E" w14:textId="77777777" w:rsidR="00000000" w:rsidRDefault="002F6856">
      <w:pPr>
        <w:pStyle w:val="a3"/>
        <w:jc w:val="left"/>
        <w:rPr>
          <w:rFonts w:cs="David"/>
          <w:b/>
          <w:bCs/>
          <w:szCs w:val="20"/>
          <w:rtl/>
        </w:rPr>
      </w:pPr>
      <w:r>
        <w:rPr>
          <w:rFonts w:cs="David"/>
          <w:b/>
          <w:bCs/>
          <w:szCs w:val="20"/>
          <w:rtl/>
        </w:rPr>
        <w:t> </w:t>
      </w:r>
    </w:p>
    <w:p w14:paraId="5410D90D" w14:textId="77777777" w:rsidR="00000000" w:rsidRDefault="002F6856">
      <w:pPr>
        <w:pStyle w:val="a8"/>
        <w:rPr>
          <w:rFonts w:cs="David"/>
          <w:b w:val="0"/>
          <w:bCs w:val="0"/>
          <w:sz w:val="28"/>
          <w:szCs w:val="28"/>
          <w:rtl/>
        </w:rPr>
      </w:pPr>
      <w:r>
        <w:rPr>
          <w:rFonts w:cs="David"/>
          <w:b w:val="0"/>
          <w:bCs w:val="0"/>
          <w:sz w:val="28"/>
          <w:szCs w:val="28"/>
          <w:rtl/>
        </w:rPr>
        <w:t> </w:t>
      </w:r>
    </w:p>
    <w:tbl>
      <w:tblPr>
        <w:bidiVisual/>
        <w:tblW w:w="8591" w:type="dxa"/>
        <w:tblInd w:w="207" w:type="dxa"/>
        <w:tblCellMar>
          <w:left w:w="107" w:type="dxa"/>
          <w:right w:w="107" w:type="dxa"/>
        </w:tblCellMar>
        <w:tblLook w:val="0000" w:firstRow="0" w:lastRow="0" w:firstColumn="0" w:lastColumn="0" w:noHBand="0" w:noVBand="0"/>
      </w:tblPr>
      <w:tblGrid>
        <w:gridCol w:w="1134"/>
        <w:gridCol w:w="5048"/>
        <w:gridCol w:w="2409"/>
      </w:tblGrid>
      <w:tr w:rsidR="00000000" w14:paraId="5594A36E" w14:textId="77777777">
        <w:tc>
          <w:tcPr>
            <w:tcW w:w="1134" w:type="dxa"/>
            <w:tcBorders>
              <w:top w:val="nil"/>
              <w:left w:val="nil"/>
              <w:bottom w:val="nil"/>
              <w:right w:val="nil"/>
            </w:tcBorders>
          </w:tcPr>
          <w:p w14:paraId="2563A77C" w14:textId="77777777" w:rsidR="00000000" w:rsidRDefault="002F6856">
            <w:pPr>
              <w:pStyle w:val="a8"/>
              <w:rPr>
                <w:rFonts w:cs="David"/>
                <w:sz w:val="32"/>
                <w:szCs w:val="30"/>
                <w:u w:val="single"/>
              </w:rPr>
            </w:pPr>
            <w:r>
              <w:rPr>
                <w:rFonts w:cs="David"/>
                <w:sz w:val="28"/>
                <w:szCs w:val="28"/>
                <w:u w:val="single"/>
                <w:rtl/>
              </w:rPr>
              <w:t>בעניין</w:t>
            </w:r>
            <w:r>
              <w:rPr>
                <w:rFonts w:cs="David"/>
                <w:sz w:val="28"/>
                <w:szCs w:val="28"/>
                <w:rtl/>
              </w:rPr>
              <w:t>:</w:t>
            </w:r>
          </w:p>
        </w:tc>
        <w:tc>
          <w:tcPr>
            <w:tcW w:w="5048" w:type="dxa"/>
            <w:tcBorders>
              <w:top w:val="nil"/>
              <w:left w:val="nil"/>
              <w:bottom w:val="nil"/>
              <w:right w:val="nil"/>
            </w:tcBorders>
          </w:tcPr>
          <w:p w14:paraId="7B1CF8C4" w14:textId="77777777" w:rsidR="00000000" w:rsidRDefault="002F6856">
            <w:pPr>
              <w:pStyle w:val="a8"/>
              <w:rPr>
                <w:rFonts w:cs="David"/>
                <w:sz w:val="30"/>
                <w:szCs w:val="28"/>
              </w:rPr>
            </w:pPr>
            <w:r>
              <w:rPr>
                <w:rFonts w:cs="David"/>
                <w:sz w:val="28"/>
                <w:szCs w:val="28"/>
                <w:rtl/>
              </w:rPr>
              <w:t>כתר שם טוב</w:t>
            </w:r>
          </w:p>
        </w:tc>
        <w:tc>
          <w:tcPr>
            <w:tcW w:w="2409" w:type="dxa"/>
            <w:tcBorders>
              <w:top w:val="nil"/>
              <w:left w:val="nil"/>
              <w:bottom w:val="nil"/>
              <w:right w:val="nil"/>
            </w:tcBorders>
          </w:tcPr>
          <w:p w14:paraId="2180644D" w14:textId="77777777" w:rsidR="00000000" w:rsidRDefault="002F6856">
            <w:pPr>
              <w:pStyle w:val="a8"/>
              <w:rPr>
                <w:rFonts w:cs="David"/>
                <w:sz w:val="30"/>
                <w:szCs w:val="28"/>
                <w:u w:val="single"/>
              </w:rPr>
            </w:pPr>
            <w:r>
              <w:rPr>
                <w:rFonts w:cs="David"/>
                <w:sz w:val="28"/>
                <w:szCs w:val="28"/>
                <w:u w:val="single"/>
                <w:rtl/>
              </w:rPr>
              <w:t>העותרת</w:t>
            </w:r>
          </w:p>
        </w:tc>
      </w:tr>
      <w:tr w:rsidR="00000000" w14:paraId="2BCE3B25" w14:textId="77777777">
        <w:tc>
          <w:tcPr>
            <w:tcW w:w="1134" w:type="dxa"/>
            <w:tcBorders>
              <w:top w:val="nil"/>
              <w:left w:val="nil"/>
              <w:bottom w:val="nil"/>
              <w:right w:val="nil"/>
            </w:tcBorders>
          </w:tcPr>
          <w:p w14:paraId="424E9B69" w14:textId="77777777" w:rsidR="00000000" w:rsidRDefault="002F6856">
            <w:pPr>
              <w:pStyle w:val="a8"/>
              <w:rPr>
                <w:rFonts w:cs="David"/>
                <w:sz w:val="30"/>
                <w:szCs w:val="28"/>
              </w:rPr>
            </w:pPr>
            <w:r>
              <w:rPr>
                <w:rFonts w:cs="David"/>
                <w:sz w:val="24"/>
                <w:rtl/>
              </w:rPr>
              <w:t> </w:t>
            </w:r>
          </w:p>
        </w:tc>
        <w:tc>
          <w:tcPr>
            <w:tcW w:w="5048" w:type="dxa"/>
            <w:tcBorders>
              <w:top w:val="nil"/>
              <w:left w:val="nil"/>
              <w:bottom w:val="nil"/>
              <w:right w:val="nil"/>
            </w:tcBorders>
          </w:tcPr>
          <w:p w14:paraId="5CACECED" w14:textId="77777777" w:rsidR="00000000" w:rsidRDefault="002F6856">
            <w:pPr>
              <w:pStyle w:val="a8"/>
              <w:jc w:val="center"/>
              <w:rPr>
                <w:rFonts w:cs="David"/>
                <w:sz w:val="30"/>
                <w:szCs w:val="28"/>
              </w:rPr>
            </w:pPr>
            <w:r>
              <w:rPr>
                <w:rFonts w:cs="David"/>
                <w:sz w:val="28"/>
                <w:szCs w:val="28"/>
                <w:rtl/>
              </w:rPr>
              <w:t>נ  ג  ד</w:t>
            </w:r>
          </w:p>
        </w:tc>
        <w:tc>
          <w:tcPr>
            <w:tcW w:w="2409" w:type="dxa"/>
            <w:tcBorders>
              <w:top w:val="nil"/>
              <w:left w:val="nil"/>
              <w:bottom w:val="nil"/>
              <w:right w:val="nil"/>
            </w:tcBorders>
          </w:tcPr>
          <w:p w14:paraId="710A1B82" w14:textId="77777777" w:rsidR="00000000" w:rsidRDefault="002F6856">
            <w:pPr>
              <w:pStyle w:val="a8"/>
              <w:rPr>
                <w:rFonts w:cs="David"/>
                <w:sz w:val="30"/>
                <w:szCs w:val="28"/>
              </w:rPr>
            </w:pPr>
            <w:r>
              <w:rPr>
                <w:rFonts w:cs="David"/>
                <w:sz w:val="24"/>
                <w:rtl/>
              </w:rPr>
              <w:t> </w:t>
            </w:r>
          </w:p>
        </w:tc>
      </w:tr>
      <w:tr w:rsidR="00000000" w14:paraId="0B215BAA" w14:textId="77777777">
        <w:tc>
          <w:tcPr>
            <w:tcW w:w="1134" w:type="dxa"/>
            <w:tcBorders>
              <w:top w:val="nil"/>
              <w:left w:val="nil"/>
              <w:bottom w:val="nil"/>
              <w:right w:val="nil"/>
            </w:tcBorders>
          </w:tcPr>
          <w:p w14:paraId="21BFCA18" w14:textId="77777777" w:rsidR="00000000" w:rsidRDefault="002F6856">
            <w:pPr>
              <w:pStyle w:val="a8"/>
              <w:rPr>
                <w:rFonts w:cs="David"/>
                <w:sz w:val="32"/>
                <w:szCs w:val="30"/>
                <w:u w:val="single"/>
              </w:rPr>
            </w:pPr>
            <w:r>
              <w:rPr>
                <w:rFonts w:cs="David"/>
                <w:sz w:val="24"/>
                <w:rtl/>
              </w:rPr>
              <w:t> </w:t>
            </w:r>
          </w:p>
        </w:tc>
        <w:tc>
          <w:tcPr>
            <w:tcW w:w="5048" w:type="dxa"/>
            <w:tcBorders>
              <w:top w:val="nil"/>
              <w:left w:val="nil"/>
              <w:bottom w:val="nil"/>
              <w:right w:val="nil"/>
            </w:tcBorders>
          </w:tcPr>
          <w:p w14:paraId="55B8B16A" w14:textId="77777777" w:rsidR="00000000" w:rsidRDefault="002F6856">
            <w:pPr>
              <w:pStyle w:val="a8"/>
              <w:rPr>
                <w:rFonts w:cs="David"/>
                <w:sz w:val="30"/>
                <w:szCs w:val="28"/>
              </w:rPr>
            </w:pPr>
            <w:r>
              <w:rPr>
                <w:rFonts w:cs="David"/>
                <w:sz w:val="28"/>
                <w:szCs w:val="28"/>
                <w:rtl/>
              </w:rPr>
              <w:t>1 . עו"ד ירון קידר רשם העמותות</w:t>
            </w:r>
          </w:p>
          <w:p w14:paraId="297B2047" w14:textId="77777777" w:rsidR="00000000" w:rsidRDefault="002F6856">
            <w:pPr>
              <w:pStyle w:val="a8"/>
              <w:rPr>
                <w:rFonts w:cs="David"/>
                <w:sz w:val="28"/>
                <w:szCs w:val="28"/>
                <w:rtl/>
              </w:rPr>
            </w:pPr>
            <w:r>
              <w:rPr>
                <w:rFonts w:cs="David"/>
                <w:sz w:val="28"/>
                <w:szCs w:val="28"/>
                <w:rtl/>
              </w:rPr>
              <w:t>2 . שר החינוך מר מאיר שטרית</w:t>
            </w:r>
          </w:p>
          <w:p w14:paraId="7392056D" w14:textId="77777777" w:rsidR="00000000" w:rsidRDefault="002F6856">
            <w:pPr>
              <w:pStyle w:val="a8"/>
              <w:rPr>
                <w:rFonts w:cs="David"/>
                <w:sz w:val="30"/>
                <w:szCs w:val="28"/>
              </w:rPr>
            </w:pPr>
            <w:r>
              <w:rPr>
                <w:rFonts w:cs="David"/>
                <w:sz w:val="28"/>
                <w:szCs w:val="28"/>
                <w:rtl/>
              </w:rPr>
              <w:t>3 . עמוס</w:t>
            </w:r>
            <w:r>
              <w:rPr>
                <w:rFonts w:cs="David"/>
                <w:sz w:val="28"/>
                <w:szCs w:val="28"/>
                <w:rtl/>
              </w:rPr>
              <w:t xml:space="preserve"> צייאדה מנהל ארגונים ומוסדות תורה</w:t>
            </w:r>
          </w:p>
        </w:tc>
        <w:tc>
          <w:tcPr>
            <w:tcW w:w="2409" w:type="dxa"/>
            <w:tcBorders>
              <w:top w:val="nil"/>
              <w:left w:val="nil"/>
              <w:bottom w:val="nil"/>
              <w:right w:val="nil"/>
            </w:tcBorders>
          </w:tcPr>
          <w:p w14:paraId="43E72B4C" w14:textId="77777777" w:rsidR="00000000" w:rsidRDefault="002F6856">
            <w:pPr>
              <w:pStyle w:val="a8"/>
              <w:rPr>
                <w:rFonts w:cs="David"/>
                <w:sz w:val="30"/>
                <w:szCs w:val="28"/>
                <w:u w:val="single"/>
              </w:rPr>
            </w:pPr>
            <w:r>
              <w:rPr>
                <w:rFonts w:cs="David"/>
                <w:sz w:val="28"/>
                <w:szCs w:val="28"/>
                <w:u w:val="single"/>
                <w:rtl/>
              </w:rPr>
              <w:t> </w:t>
            </w:r>
          </w:p>
          <w:p w14:paraId="1674D076" w14:textId="77777777" w:rsidR="00000000" w:rsidRDefault="002F6856">
            <w:pPr>
              <w:pStyle w:val="a8"/>
              <w:rPr>
                <w:rFonts w:cs="David"/>
                <w:sz w:val="28"/>
                <w:szCs w:val="28"/>
                <w:u w:val="single"/>
                <w:rtl/>
              </w:rPr>
            </w:pPr>
            <w:r>
              <w:rPr>
                <w:rFonts w:cs="David"/>
                <w:sz w:val="28"/>
                <w:szCs w:val="28"/>
                <w:u w:val="single"/>
                <w:rtl/>
              </w:rPr>
              <w:t> </w:t>
            </w:r>
          </w:p>
          <w:p w14:paraId="1A6E0E25" w14:textId="77777777" w:rsidR="00000000" w:rsidRDefault="002F6856">
            <w:pPr>
              <w:pStyle w:val="a8"/>
              <w:rPr>
                <w:rFonts w:cs="David"/>
                <w:sz w:val="30"/>
                <w:szCs w:val="28"/>
                <w:u w:val="single"/>
              </w:rPr>
            </w:pPr>
            <w:r>
              <w:rPr>
                <w:rFonts w:cs="David"/>
                <w:sz w:val="28"/>
                <w:szCs w:val="28"/>
                <w:u w:val="single"/>
                <w:rtl/>
              </w:rPr>
              <w:t>המשיבים</w:t>
            </w:r>
          </w:p>
        </w:tc>
      </w:tr>
    </w:tbl>
    <w:p w14:paraId="19C64168" w14:textId="77777777" w:rsidR="00000000" w:rsidRDefault="002F6856">
      <w:pPr>
        <w:pStyle w:val="a8"/>
        <w:rPr>
          <w:rFonts w:cs="David"/>
          <w:b w:val="0"/>
          <w:bCs w:val="0"/>
          <w:sz w:val="28"/>
          <w:szCs w:val="28"/>
          <w:rtl/>
        </w:rPr>
      </w:pPr>
      <w:r>
        <w:rPr>
          <w:rFonts w:cs="David"/>
          <w:b w:val="0"/>
          <w:bCs w:val="0"/>
          <w:sz w:val="28"/>
          <w:szCs w:val="28"/>
          <w:rtl/>
        </w:rPr>
        <w:t> </w:t>
      </w:r>
    </w:p>
    <w:p w14:paraId="65C7F28B" w14:textId="77777777" w:rsidR="00000000" w:rsidRDefault="002F6856">
      <w:pPr>
        <w:pStyle w:val="1"/>
        <w:rPr>
          <w:rFonts w:cs="David"/>
          <w:sz w:val="36"/>
          <w:szCs w:val="36"/>
          <w:rtl/>
        </w:rPr>
      </w:pPr>
      <w:r>
        <w:rPr>
          <w:rFonts w:cs="David"/>
          <w:sz w:val="36"/>
          <w:szCs w:val="36"/>
          <w:rtl/>
        </w:rPr>
        <w:t>פסק דין</w:t>
      </w:r>
    </w:p>
    <w:p w14:paraId="42B0AE70" w14:textId="77777777" w:rsidR="00000000" w:rsidRDefault="002F6856">
      <w:pPr>
        <w:snapToGrid/>
        <w:spacing w:line="360" w:lineRule="auto"/>
        <w:jc w:val="both"/>
        <w:rPr>
          <w:rFonts w:eastAsiaTheme="minorEastAsia" w:cs="David"/>
          <w:sz w:val="24"/>
          <w:rtl/>
        </w:rPr>
      </w:pPr>
      <w:r>
        <w:rPr>
          <w:rFonts w:eastAsiaTheme="minorEastAsia"/>
          <w:sz w:val="24"/>
          <w:rtl/>
        </w:rPr>
        <w:t> </w:t>
      </w:r>
    </w:p>
    <w:p w14:paraId="0F20E6C4" w14:textId="77777777" w:rsidR="00000000" w:rsidRDefault="002F6856">
      <w:pPr>
        <w:snapToGrid/>
        <w:spacing w:line="360" w:lineRule="auto"/>
        <w:jc w:val="both"/>
        <w:rPr>
          <w:rFonts w:eastAsiaTheme="minorEastAsia" w:cs="David"/>
          <w:b/>
          <w:bCs/>
          <w:sz w:val="28"/>
          <w:szCs w:val="28"/>
          <w:u w:val="single"/>
          <w:rtl/>
          <w:lang w:eastAsia="en-US"/>
        </w:rPr>
      </w:pPr>
      <w:r>
        <w:rPr>
          <w:rFonts w:eastAsiaTheme="minorEastAsia"/>
          <w:sz w:val="28"/>
          <w:szCs w:val="28"/>
          <w:rtl/>
          <w:lang w:eastAsia="en-US"/>
        </w:rPr>
        <w:t xml:space="preserve"> 1.</w:t>
      </w:r>
      <w:r>
        <w:rPr>
          <w:rFonts w:eastAsiaTheme="minorEastAsia"/>
          <w:sz w:val="28"/>
          <w:szCs w:val="28"/>
          <w:rtl/>
          <w:lang w:eastAsia="en-US"/>
        </w:rPr>
        <w:tab/>
      </w:r>
      <w:r>
        <w:rPr>
          <w:rFonts w:eastAsiaTheme="minorEastAsia"/>
          <w:b/>
          <w:bCs/>
          <w:sz w:val="28"/>
          <w:szCs w:val="28"/>
          <w:u w:val="single"/>
          <w:rtl/>
          <w:lang w:eastAsia="en-US"/>
        </w:rPr>
        <w:t>הרקע לעתירה:</w:t>
      </w:r>
    </w:p>
    <w:p w14:paraId="7C41AC24" w14:textId="77777777" w:rsidR="00000000" w:rsidRDefault="002F6856">
      <w:pPr>
        <w:snapToGrid/>
        <w:spacing w:line="360" w:lineRule="auto"/>
        <w:jc w:val="both"/>
        <w:rPr>
          <w:rFonts w:eastAsiaTheme="minorEastAsia" w:cs="David"/>
          <w:b/>
          <w:bCs/>
          <w:sz w:val="28"/>
          <w:szCs w:val="28"/>
          <w:u w:val="single"/>
          <w:rtl/>
          <w:lang w:eastAsia="en-US"/>
        </w:rPr>
      </w:pPr>
      <w:r>
        <w:rPr>
          <w:rFonts w:eastAsiaTheme="minorEastAsia"/>
          <w:b/>
          <w:bCs/>
          <w:sz w:val="28"/>
          <w:szCs w:val="28"/>
          <w:u w:val="single"/>
          <w:lang w:eastAsia="en-US"/>
        </w:rPr>
        <w:t> </w:t>
      </w:r>
    </w:p>
    <w:p w14:paraId="7E75D118" w14:textId="77777777" w:rsidR="00000000" w:rsidRDefault="002F6856">
      <w:pPr>
        <w:snapToGrid/>
        <w:spacing w:line="360" w:lineRule="auto"/>
        <w:ind w:left="720"/>
        <w:jc w:val="both"/>
        <w:rPr>
          <w:rFonts w:eastAsiaTheme="minorEastAsia" w:cs="David"/>
          <w:sz w:val="28"/>
          <w:szCs w:val="28"/>
          <w:rtl/>
          <w:lang w:eastAsia="en-US"/>
        </w:rPr>
      </w:pPr>
      <w:r>
        <w:rPr>
          <w:rFonts w:eastAsiaTheme="minorEastAsia"/>
          <w:sz w:val="28"/>
          <w:szCs w:val="28"/>
          <w:rtl/>
          <w:lang w:eastAsia="en-US"/>
        </w:rPr>
        <w:t xml:space="preserve">העותרת, עמותה רשומה, אשר מטרתה להכשיר אברכים ללימודי דיינות, מתוקצבת מזה כמה שנים בתמיכה ממשלתית. בתאריך 18.12.03, בסמוך לקראת מועד חידוש בקשת תקציב התמיכה השנתית מהמשרד לענייני </w:t>
      </w:r>
      <w:r>
        <w:rPr>
          <w:rFonts w:eastAsiaTheme="minorEastAsia"/>
          <w:sz w:val="28"/>
          <w:szCs w:val="28"/>
          <w:rtl/>
          <w:lang w:eastAsia="en-US"/>
        </w:rPr>
        <w:t xml:space="preserve">דתות (היום התמיכה ניתנת על ידי האגף למוסדות תורניים במשרד החינוך) הגישה העותרת בקשה לרשם העמותות לאישור בדבר ניהול תקין של העמותה וזאת לשם צירוף האישור לבקשת התקציב לתמיכה שנתית. בקשת העותרת מרשם העמותות לאישור ניהול תקין נענתה רק ביום 17.11.04 ולכן צירפה </w:t>
      </w:r>
      <w:r>
        <w:rPr>
          <w:rFonts w:eastAsiaTheme="minorEastAsia"/>
          <w:sz w:val="28"/>
          <w:szCs w:val="28"/>
          <w:rtl/>
          <w:lang w:eastAsia="en-US"/>
        </w:rPr>
        <w:t xml:space="preserve">העותרת לבקשתה לתקציב התמיכה אישור ניהול תקין התקף עד ליום 31.12.03 בלבד. על כן, נדחתה בקשתה של העותרת לתקציב התמיכה לשנת 2004, מאחר ואישור הניהול התקין לא היה תקף לשנת 2004.  </w:t>
      </w:r>
    </w:p>
    <w:p w14:paraId="08E374D7" w14:textId="77777777" w:rsidR="00000000" w:rsidRDefault="002F6856">
      <w:pPr>
        <w:snapToGrid/>
        <w:spacing w:line="360" w:lineRule="auto"/>
        <w:jc w:val="both"/>
        <w:rPr>
          <w:rFonts w:eastAsiaTheme="minorEastAsia" w:cs="David"/>
          <w:sz w:val="28"/>
          <w:szCs w:val="28"/>
          <w:rtl/>
          <w:lang w:eastAsia="en-US"/>
        </w:rPr>
      </w:pPr>
      <w:r>
        <w:rPr>
          <w:rFonts w:eastAsiaTheme="minorEastAsia"/>
          <w:sz w:val="28"/>
          <w:szCs w:val="28"/>
          <w:rtl/>
          <w:lang w:eastAsia="en-US"/>
        </w:rPr>
        <w:t> </w:t>
      </w:r>
    </w:p>
    <w:p w14:paraId="19061DF8" w14:textId="77777777" w:rsidR="00000000" w:rsidRDefault="002F6856">
      <w:pPr>
        <w:snapToGrid/>
        <w:spacing w:line="360" w:lineRule="auto"/>
        <w:ind w:left="720"/>
        <w:jc w:val="both"/>
        <w:rPr>
          <w:rFonts w:eastAsiaTheme="minorEastAsia" w:cs="David"/>
          <w:sz w:val="28"/>
          <w:szCs w:val="28"/>
          <w:rtl/>
          <w:lang w:eastAsia="en-US"/>
        </w:rPr>
      </w:pPr>
      <w:r>
        <w:rPr>
          <w:rFonts w:eastAsiaTheme="minorEastAsia"/>
          <w:sz w:val="28"/>
          <w:szCs w:val="28"/>
          <w:rtl/>
          <w:lang w:eastAsia="en-US"/>
        </w:rPr>
        <w:lastRenderedPageBreak/>
        <w:t xml:space="preserve">העותרת מבקשת מביהמ"ש להצהיר כי אישור הניהול התקין שיש בידיה מורה כי תוקפו חל </w:t>
      </w:r>
      <w:r>
        <w:rPr>
          <w:rFonts w:eastAsiaTheme="minorEastAsia"/>
          <w:sz w:val="28"/>
          <w:szCs w:val="28"/>
          <w:rtl/>
          <w:lang w:eastAsia="en-US"/>
        </w:rPr>
        <w:t xml:space="preserve">רטרואקטיבית לתחילת שנת 2004 וכן לחייב את מחלקת הישיבות במשרד החינוך להביא את עניין תקציב התמיכה השנתית של העותרת בפני ועדת התמיכות. </w:t>
      </w:r>
    </w:p>
    <w:p w14:paraId="1AB87FF9" w14:textId="77777777" w:rsidR="00000000" w:rsidRDefault="002F6856">
      <w:pPr>
        <w:snapToGrid/>
        <w:spacing w:line="360" w:lineRule="auto"/>
        <w:jc w:val="both"/>
        <w:rPr>
          <w:rFonts w:eastAsiaTheme="minorEastAsia" w:cs="David"/>
          <w:sz w:val="28"/>
          <w:szCs w:val="28"/>
          <w:rtl/>
          <w:lang w:eastAsia="en-US"/>
        </w:rPr>
      </w:pPr>
      <w:r>
        <w:rPr>
          <w:rFonts w:eastAsiaTheme="minorEastAsia"/>
          <w:sz w:val="28"/>
          <w:szCs w:val="28"/>
          <w:rtl/>
          <w:lang w:eastAsia="en-US"/>
        </w:rPr>
        <w:t> </w:t>
      </w:r>
    </w:p>
    <w:p w14:paraId="331234DF" w14:textId="77777777" w:rsidR="00000000" w:rsidRDefault="002F6856">
      <w:pPr>
        <w:snapToGrid/>
        <w:spacing w:line="360" w:lineRule="auto"/>
        <w:jc w:val="both"/>
        <w:rPr>
          <w:rFonts w:eastAsiaTheme="minorEastAsia" w:cs="David"/>
          <w:b/>
          <w:bCs/>
          <w:sz w:val="28"/>
          <w:szCs w:val="28"/>
          <w:u w:val="single"/>
          <w:rtl/>
          <w:lang w:eastAsia="en-US"/>
        </w:rPr>
      </w:pPr>
      <w:r>
        <w:rPr>
          <w:rFonts w:eastAsiaTheme="minorEastAsia"/>
          <w:sz w:val="28"/>
          <w:szCs w:val="28"/>
          <w:rtl/>
          <w:lang w:eastAsia="en-US"/>
        </w:rPr>
        <w:t>2.</w:t>
      </w:r>
      <w:r>
        <w:rPr>
          <w:rFonts w:eastAsiaTheme="minorEastAsia"/>
          <w:sz w:val="28"/>
          <w:szCs w:val="28"/>
          <w:rtl/>
          <w:lang w:eastAsia="en-US"/>
        </w:rPr>
        <w:tab/>
      </w:r>
      <w:r>
        <w:rPr>
          <w:rFonts w:eastAsiaTheme="minorEastAsia"/>
          <w:b/>
          <w:bCs/>
          <w:sz w:val="28"/>
          <w:szCs w:val="28"/>
          <w:u w:val="single"/>
          <w:rtl/>
          <w:lang w:eastAsia="en-US"/>
        </w:rPr>
        <w:t>טענות הצדדים:</w:t>
      </w:r>
    </w:p>
    <w:p w14:paraId="5C831871" w14:textId="77777777" w:rsidR="00000000" w:rsidRDefault="002F6856">
      <w:pPr>
        <w:snapToGrid/>
        <w:spacing w:line="360" w:lineRule="auto"/>
        <w:jc w:val="both"/>
        <w:rPr>
          <w:rFonts w:eastAsiaTheme="minorEastAsia" w:cs="David"/>
          <w:b/>
          <w:bCs/>
          <w:sz w:val="28"/>
          <w:szCs w:val="28"/>
          <w:u w:val="single"/>
          <w:rtl/>
          <w:lang w:eastAsia="en-US"/>
        </w:rPr>
      </w:pPr>
      <w:r>
        <w:rPr>
          <w:rFonts w:eastAsiaTheme="minorEastAsia"/>
          <w:b/>
          <w:bCs/>
          <w:sz w:val="28"/>
          <w:szCs w:val="28"/>
          <w:u w:val="single"/>
          <w:rtl/>
          <w:lang w:eastAsia="en-US"/>
        </w:rPr>
        <w:t> </w:t>
      </w:r>
    </w:p>
    <w:p w14:paraId="2C4D8131" w14:textId="77777777" w:rsidR="00000000" w:rsidRDefault="002F6856">
      <w:pPr>
        <w:snapToGrid/>
        <w:spacing w:line="360" w:lineRule="auto"/>
        <w:ind w:left="720"/>
        <w:jc w:val="both"/>
        <w:rPr>
          <w:rFonts w:eastAsiaTheme="minorEastAsia" w:cs="David"/>
          <w:sz w:val="28"/>
          <w:szCs w:val="28"/>
          <w:rtl/>
          <w:lang w:eastAsia="en-US"/>
        </w:rPr>
      </w:pPr>
      <w:r>
        <w:rPr>
          <w:rFonts w:eastAsiaTheme="minorEastAsia"/>
          <w:sz w:val="28"/>
          <w:szCs w:val="28"/>
          <w:rtl/>
          <w:lang w:eastAsia="en-US"/>
        </w:rPr>
        <w:t>לטענת העותרת, היא הייתה סבורה שהמצאת מסמכי אישור ניהול תקין שתוקפן פג בשנה החולפת הינה מותרת.</w:t>
      </w:r>
    </w:p>
    <w:p w14:paraId="3461FBFC" w14:textId="77777777" w:rsidR="00000000" w:rsidRDefault="002F6856">
      <w:pPr>
        <w:snapToGrid/>
        <w:spacing w:line="360" w:lineRule="auto"/>
        <w:jc w:val="both"/>
        <w:rPr>
          <w:rFonts w:eastAsiaTheme="minorEastAsia" w:cs="David"/>
          <w:sz w:val="28"/>
          <w:szCs w:val="28"/>
          <w:rtl/>
          <w:lang w:eastAsia="en-US"/>
        </w:rPr>
      </w:pPr>
      <w:r>
        <w:rPr>
          <w:rFonts w:eastAsiaTheme="minorEastAsia"/>
          <w:sz w:val="28"/>
          <w:szCs w:val="28"/>
          <w:rtl/>
          <w:lang w:eastAsia="en-US"/>
        </w:rPr>
        <w:t> </w:t>
      </w:r>
    </w:p>
    <w:p w14:paraId="2E0CBB74" w14:textId="77777777" w:rsidR="00000000" w:rsidRDefault="002F6856">
      <w:pPr>
        <w:snapToGrid/>
        <w:spacing w:line="360" w:lineRule="auto"/>
        <w:ind w:left="720"/>
        <w:jc w:val="both"/>
        <w:rPr>
          <w:rFonts w:eastAsiaTheme="minorEastAsia" w:cs="David"/>
          <w:sz w:val="28"/>
          <w:szCs w:val="28"/>
          <w:rtl/>
          <w:lang w:eastAsia="en-US"/>
        </w:rPr>
      </w:pPr>
      <w:r>
        <w:rPr>
          <w:rFonts w:eastAsiaTheme="minorEastAsia"/>
          <w:sz w:val="28"/>
          <w:szCs w:val="28"/>
          <w:rtl/>
          <w:lang w:eastAsia="en-US"/>
        </w:rPr>
        <w:t>העותר</w:t>
      </w:r>
      <w:r>
        <w:rPr>
          <w:rFonts w:eastAsiaTheme="minorEastAsia"/>
          <w:sz w:val="28"/>
          <w:szCs w:val="28"/>
          <w:rtl/>
          <w:lang w:eastAsia="en-US"/>
        </w:rPr>
        <w:t xml:space="preserve">ת טוענת כי נאמר לבא כוחה טלפונית על ידי נציג רשם העמותות, רו"ח דן רבין, וכן על ידי מנהל אגף מוסדות תורניים, המשיב 3, כי האישור על ניהול תקין שהומצא לעותרת בתאריך 17.11.04 תקף רטרואקטיבית ליום 1.1.04. </w:t>
      </w:r>
    </w:p>
    <w:p w14:paraId="398020DD" w14:textId="77777777" w:rsidR="00000000" w:rsidRDefault="002F6856">
      <w:pPr>
        <w:snapToGrid/>
        <w:spacing w:line="360" w:lineRule="auto"/>
        <w:jc w:val="both"/>
        <w:rPr>
          <w:rFonts w:eastAsiaTheme="minorEastAsia" w:cs="David"/>
          <w:sz w:val="28"/>
          <w:szCs w:val="28"/>
          <w:rtl/>
          <w:lang w:eastAsia="en-US"/>
        </w:rPr>
      </w:pPr>
      <w:r>
        <w:rPr>
          <w:rFonts w:eastAsiaTheme="minorEastAsia"/>
          <w:sz w:val="28"/>
          <w:szCs w:val="28"/>
          <w:rtl/>
          <w:lang w:eastAsia="en-US"/>
        </w:rPr>
        <w:t> </w:t>
      </w:r>
    </w:p>
    <w:p w14:paraId="0379A252" w14:textId="77777777" w:rsidR="00000000" w:rsidRDefault="002F6856">
      <w:pPr>
        <w:snapToGrid/>
        <w:spacing w:line="360" w:lineRule="auto"/>
        <w:ind w:left="720"/>
        <w:jc w:val="both"/>
        <w:rPr>
          <w:rFonts w:eastAsiaTheme="minorEastAsia" w:cs="David"/>
          <w:sz w:val="28"/>
          <w:szCs w:val="28"/>
          <w:rtl/>
          <w:lang w:eastAsia="en-US"/>
        </w:rPr>
      </w:pPr>
      <w:r>
        <w:rPr>
          <w:rFonts w:eastAsiaTheme="minorEastAsia"/>
          <w:sz w:val="28"/>
          <w:szCs w:val="28"/>
          <w:rtl/>
          <w:lang w:eastAsia="en-US"/>
        </w:rPr>
        <w:t>לעניין טענת השיהוי שטוענים המשיבים טוענת העותרת כי הי</w:t>
      </w:r>
      <w:r>
        <w:rPr>
          <w:rFonts w:eastAsiaTheme="minorEastAsia"/>
          <w:sz w:val="28"/>
          <w:szCs w:val="28"/>
          <w:rtl/>
          <w:lang w:eastAsia="en-US"/>
        </w:rPr>
        <w:t>א כלל לא שקטה על שמריה אלא פנתה חזור ושוב לרשם העמותות על מנת לברר מדוע לא ניתן לה אישור ניהול תקין וכן הייתה סבורה שהאישור שהומצא לה ביום 17.11.04 תקף רטרואקטיבית ליום 1.1.04. לטענת העותרת, היא נקטה בפעולות מיידיות על מנת לדאוג להמצאת האישור והייתה בקשר ת</w:t>
      </w:r>
      <w:r>
        <w:rPr>
          <w:rFonts w:eastAsiaTheme="minorEastAsia"/>
          <w:sz w:val="28"/>
          <w:szCs w:val="28"/>
          <w:rtl/>
          <w:lang w:eastAsia="en-US"/>
        </w:rPr>
        <w:t xml:space="preserve">כוף ושוטף עם רשם העמותות לצורך קבלת האישור. השיהוי נגרם באשמת רשם העמותות ולא באשמת העותרת. </w:t>
      </w:r>
    </w:p>
    <w:p w14:paraId="6C54C3B5" w14:textId="77777777" w:rsidR="00000000" w:rsidRDefault="002F6856">
      <w:pPr>
        <w:snapToGrid/>
        <w:spacing w:line="360" w:lineRule="auto"/>
        <w:jc w:val="both"/>
        <w:rPr>
          <w:rFonts w:eastAsiaTheme="minorEastAsia" w:cs="David"/>
          <w:sz w:val="28"/>
          <w:szCs w:val="28"/>
          <w:rtl/>
          <w:lang w:eastAsia="en-US"/>
        </w:rPr>
      </w:pPr>
      <w:r>
        <w:rPr>
          <w:rFonts w:eastAsiaTheme="minorEastAsia"/>
          <w:sz w:val="28"/>
          <w:szCs w:val="28"/>
          <w:rtl/>
          <w:lang w:eastAsia="en-US"/>
        </w:rPr>
        <w:t> </w:t>
      </w:r>
    </w:p>
    <w:p w14:paraId="0AE4DF22" w14:textId="77777777" w:rsidR="00000000" w:rsidRDefault="002F6856">
      <w:pPr>
        <w:snapToGrid/>
        <w:spacing w:line="360" w:lineRule="auto"/>
        <w:ind w:left="720"/>
        <w:jc w:val="both"/>
        <w:rPr>
          <w:rFonts w:eastAsiaTheme="minorEastAsia" w:cs="David"/>
          <w:sz w:val="28"/>
          <w:szCs w:val="28"/>
          <w:rtl/>
          <w:lang w:eastAsia="en-US"/>
        </w:rPr>
      </w:pPr>
      <w:r>
        <w:rPr>
          <w:rFonts w:eastAsiaTheme="minorEastAsia"/>
          <w:sz w:val="28"/>
          <w:szCs w:val="28"/>
          <w:rtl/>
          <w:lang w:eastAsia="en-US"/>
        </w:rPr>
        <w:t>עוד טוענת העותרת כי הרשות הפרה את חובת ההגינות ואת חובת היעילות. בנוסף, לטענת העותרת, מחלקת הישיבות במשרד החינוך יכולה לפתור את הבעיה התקציבית של העותרת בכך שתבי</w:t>
      </w:r>
      <w:r>
        <w:rPr>
          <w:rFonts w:eastAsiaTheme="minorEastAsia"/>
          <w:sz w:val="28"/>
          <w:szCs w:val="28"/>
          <w:rtl/>
          <w:lang w:eastAsia="en-US"/>
        </w:rPr>
        <w:t xml:space="preserve">א את הנושא בפני ועדת התמיכות ותחיל למפרע את האישור שניתן לעותרת ביום 17.11.04. </w:t>
      </w:r>
    </w:p>
    <w:p w14:paraId="0950CFE1" w14:textId="77777777" w:rsidR="00000000" w:rsidRDefault="002F6856">
      <w:pPr>
        <w:snapToGrid/>
        <w:spacing w:line="360" w:lineRule="auto"/>
        <w:jc w:val="both"/>
        <w:rPr>
          <w:rFonts w:eastAsiaTheme="minorEastAsia" w:cs="David"/>
          <w:sz w:val="28"/>
          <w:szCs w:val="28"/>
          <w:rtl/>
          <w:lang w:eastAsia="en-US"/>
        </w:rPr>
      </w:pPr>
      <w:r>
        <w:rPr>
          <w:rFonts w:eastAsiaTheme="minorEastAsia"/>
          <w:sz w:val="28"/>
          <w:szCs w:val="28"/>
          <w:rtl/>
          <w:lang w:eastAsia="en-US"/>
        </w:rPr>
        <w:t> </w:t>
      </w:r>
    </w:p>
    <w:p w14:paraId="7C43AAE0" w14:textId="77777777" w:rsidR="00000000" w:rsidRDefault="002F6856">
      <w:pPr>
        <w:snapToGrid/>
        <w:spacing w:line="360" w:lineRule="auto"/>
        <w:ind w:left="720"/>
        <w:jc w:val="both"/>
        <w:rPr>
          <w:rFonts w:eastAsiaTheme="minorEastAsia" w:cs="David"/>
          <w:sz w:val="28"/>
          <w:szCs w:val="28"/>
          <w:rtl/>
          <w:lang w:eastAsia="en-US"/>
        </w:rPr>
      </w:pPr>
      <w:r>
        <w:rPr>
          <w:rFonts w:eastAsiaTheme="minorEastAsia"/>
          <w:sz w:val="28"/>
          <w:szCs w:val="28"/>
          <w:rtl/>
          <w:lang w:eastAsia="en-US"/>
        </w:rPr>
        <w:t> </w:t>
      </w:r>
    </w:p>
    <w:p w14:paraId="4AFF3FCC" w14:textId="77777777" w:rsidR="00000000" w:rsidRDefault="002F6856">
      <w:pPr>
        <w:snapToGrid/>
        <w:spacing w:line="360" w:lineRule="auto"/>
        <w:ind w:left="720"/>
        <w:jc w:val="both"/>
        <w:rPr>
          <w:rFonts w:eastAsiaTheme="minorEastAsia" w:cs="David"/>
          <w:sz w:val="28"/>
          <w:szCs w:val="28"/>
          <w:rtl/>
          <w:lang w:eastAsia="en-US"/>
        </w:rPr>
      </w:pPr>
      <w:r>
        <w:rPr>
          <w:rFonts w:eastAsiaTheme="minorEastAsia"/>
          <w:sz w:val="28"/>
          <w:szCs w:val="28"/>
          <w:rtl/>
          <w:lang w:eastAsia="en-US"/>
        </w:rPr>
        <w:t> </w:t>
      </w:r>
    </w:p>
    <w:p w14:paraId="3D3F48A8" w14:textId="77777777" w:rsidR="00000000" w:rsidRDefault="002F6856">
      <w:pPr>
        <w:snapToGrid/>
        <w:spacing w:line="360" w:lineRule="auto"/>
        <w:ind w:left="720"/>
        <w:jc w:val="both"/>
        <w:rPr>
          <w:rFonts w:eastAsiaTheme="minorEastAsia" w:cs="David"/>
          <w:sz w:val="28"/>
          <w:szCs w:val="28"/>
          <w:rtl/>
          <w:lang w:eastAsia="en-US"/>
        </w:rPr>
      </w:pPr>
      <w:r>
        <w:rPr>
          <w:rFonts w:eastAsiaTheme="minorEastAsia"/>
          <w:sz w:val="28"/>
          <w:szCs w:val="28"/>
          <w:rtl/>
          <w:lang w:eastAsia="en-US"/>
        </w:rPr>
        <w:lastRenderedPageBreak/>
        <w:t>המשיבים טוענים כי דין העתירה להדחות, הן דחייה על הסף והן דחייה לגופם של דברים. לטענת המשיבים, יש לדחות את העתירה על הסף מחמת חוסר סמכות מקומית, מאחר והחלטת רשם העמותות ני</w:t>
      </w:r>
      <w:r>
        <w:rPr>
          <w:rFonts w:eastAsiaTheme="minorEastAsia"/>
          <w:sz w:val="28"/>
          <w:szCs w:val="28"/>
          <w:rtl/>
          <w:lang w:eastAsia="en-US"/>
        </w:rPr>
        <w:t>תנה בירושלים. כן יש לדחות את העתירה על הסף מחמת חוסר סמכות עניינית של ביהמ"ש לעניינים מנהליים לדון בעניין מתן תמיכות לפי סעיף 3א' לחוק יסודות התקציב, התשמ"ה – 1985 וזאת לאור סעיף 3(2) לתוספת הראשונה לחוק בתי משפט לעניינים מנהליים, התש"ס – 2000. כמו כן, טוע</w:t>
      </w:r>
      <w:r>
        <w:rPr>
          <w:rFonts w:eastAsiaTheme="minorEastAsia"/>
          <w:sz w:val="28"/>
          <w:szCs w:val="28"/>
          <w:rtl/>
          <w:lang w:eastAsia="en-US"/>
        </w:rPr>
        <w:t xml:space="preserve">נים המשיבים, כי יש לדחות את העתירה על הסף מחמת שיהוי בהגשתה מאחר ומדובר בתקיפה של החלטה שעניינה שנת 2004 ותקציב 2004. </w:t>
      </w:r>
    </w:p>
    <w:p w14:paraId="3FD31CD0" w14:textId="77777777" w:rsidR="00000000" w:rsidRDefault="002F6856">
      <w:pPr>
        <w:snapToGrid/>
        <w:spacing w:line="480" w:lineRule="auto"/>
        <w:jc w:val="both"/>
        <w:rPr>
          <w:rFonts w:eastAsiaTheme="minorEastAsia" w:cs="David"/>
          <w:sz w:val="28"/>
          <w:szCs w:val="28"/>
          <w:rtl/>
          <w:lang w:eastAsia="en-US"/>
        </w:rPr>
      </w:pPr>
      <w:r>
        <w:rPr>
          <w:rFonts w:eastAsiaTheme="minorEastAsia"/>
          <w:sz w:val="28"/>
          <w:szCs w:val="28"/>
          <w:rtl/>
          <w:lang w:eastAsia="en-US"/>
        </w:rPr>
        <w:t> </w:t>
      </w:r>
    </w:p>
    <w:p w14:paraId="210531DA" w14:textId="77777777" w:rsidR="00000000" w:rsidRDefault="002F6856">
      <w:pPr>
        <w:snapToGrid/>
        <w:spacing w:line="360" w:lineRule="auto"/>
        <w:ind w:left="720" w:hanging="720"/>
        <w:jc w:val="both"/>
        <w:rPr>
          <w:rFonts w:eastAsiaTheme="minorEastAsia" w:cs="David"/>
          <w:sz w:val="28"/>
          <w:szCs w:val="28"/>
          <w:rtl/>
          <w:lang w:eastAsia="en-US"/>
        </w:rPr>
      </w:pPr>
      <w:r>
        <w:rPr>
          <w:rFonts w:eastAsiaTheme="minorEastAsia"/>
          <w:sz w:val="28"/>
          <w:szCs w:val="28"/>
          <w:rtl/>
          <w:lang w:eastAsia="en-US"/>
        </w:rPr>
        <w:tab/>
        <w:t>כן טוענים המשיבים כי יש לדחות את העתירה לגופה מאחר והחלטת רשם העמותות שלא ליתן ביום 17.11.04 אישור רטרואקטיבי בדבר ניהול תקין בשנת 200</w:t>
      </w:r>
      <w:r>
        <w:rPr>
          <w:rFonts w:eastAsiaTheme="minorEastAsia"/>
          <w:sz w:val="28"/>
          <w:szCs w:val="28"/>
          <w:rtl/>
          <w:lang w:eastAsia="en-US"/>
        </w:rPr>
        <w:t>4 הינה החלטה כדין, ראויה וסבירה מאחר וכלל לא התקיימו התנאים למתן האישור קודם למועד הנפקתו. כמו כן, המשיב 3, מנהל אגף ארגונים ומוסדות תורניים, החליט כדין שלא להביא את עניינה של העותרת בפני ועדת התמיכות מאחר שלא הוכח שהעותרת עונה על התנאים שנקבעו בהחלטת הממש</w:t>
      </w:r>
      <w:r>
        <w:rPr>
          <w:rFonts w:eastAsiaTheme="minorEastAsia"/>
          <w:sz w:val="28"/>
          <w:szCs w:val="28"/>
          <w:rtl/>
          <w:lang w:eastAsia="en-US"/>
        </w:rPr>
        <w:t xml:space="preserve">לה והיא לא נמצאה זכאית לאישור ניהול תקין בשנת 2004 קודם ליום 17.11.04. כן סבורים המשיבים כי יש לדחות את העתירה מחמת חוסר תום לב ואי ניקיון כפיים של העותרת כי לטענתם לא גילתה העותרת בעתירתה את מלוא המידע הנדרש והסתירה מביהמ"ש פרטים מהותיים לבירור העתירה. </w:t>
      </w:r>
    </w:p>
    <w:p w14:paraId="5F564D50" w14:textId="77777777" w:rsidR="00000000" w:rsidRDefault="002F6856">
      <w:pPr>
        <w:snapToGrid/>
        <w:spacing w:line="360" w:lineRule="auto"/>
        <w:jc w:val="both"/>
        <w:rPr>
          <w:rFonts w:eastAsiaTheme="minorEastAsia" w:cs="David"/>
          <w:sz w:val="28"/>
          <w:szCs w:val="28"/>
          <w:rtl/>
          <w:lang w:eastAsia="en-US"/>
        </w:rPr>
      </w:pPr>
      <w:r>
        <w:rPr>
          <w:rFonts w:eastAsiaTheme="minorEastAsia"/>
          <w:sz w:val="28"/>
          <w:szCs w:val="28"/>
          <w:rtl/>
          <w:lang w:eastAsia="en-US"/>
        </w:rPr>
        <w:t> </w:t>
      </w:r>
    </w:p>
    <w:p w14:paraId="0CE0DD18" w14:textId="77777777" w:rsidR="00000000" w:rsidRDefault="002F6856">
      <w:pPr>
        <w:snapToGrid/>
        <w:spacing w:line="360" w:lineRule="auto"/>
        <w:jc w:val="both"/>
        <w:rPr>
          <w:rFonts w:eastAsiaTheme="minorEastAsia" w:cs="David"/>
          <w:sz w:val="28"/>
          <w:szCs w:val="28"/>
          <w:rtl/>
          <w:lang w:eastAsia="en-US"/>
        </w:rPr>
      </w:pPr>
      <w:r>
        <w:rPr>
          <w:rFonts w:eastAsiaTheme="minorEastAsia"/>
          <w:sz w:val="28"/>
          <w:szCs w:val="28"/>
          <w:rtl/>
          <w:lang w:eastAsia="en-US"/>
        </w:rPr>
        <w:t> </w:t>
      </w:r>
    </w:p>
    <w:p w14:paraId="298E8BD5" w14:textId="77777777" w:rsidR="00000000" w:rsidRDefault="002F6856">
      <w:pPr>
        <w:snapToGrid/>
        <w:spacing w:line="360" w:lineRule="auto"/>
        <w:jc w:val="both"/>
        <w:rPr>
          <w:rFonts w:eastAsiaTheme="minorEastAsia" w:cs="David"/>
          <w:sz w:val="28"/>
          <w:szCs w:val="28"/>
          <w:rtl/>
          <w:lang w:eastAsia="en-US"/>
        </w:rPr>
      </w:pPr>
      <w:r>
        <w:rPr>
          <w:rFonts w:eastAsiaTheme="minorEastAsia"/>
          <w:sz w:val="28"/>
          <w:szCs w:val="28"/>
          <w:rtl/>
          <w:lang w:eastAsia="en-US"/>
        </w:rPr>
        <w:t> </w:t>
      </w:r>
    </w:p>
    <w:p w14:paraId="5C972100" w14:textId="77777777" w:rsidR="00000000" w:rsidRDefault="002F6856">
      <w:pPr>
        <w:snapToGrid/>
        <w:spacing w:line="360" w:lineRule="auto"/>
        <w:jc w:val="both"/>
        <w:rPr>
          <w:rFonts w:eastAsiaTheme="minorEastAsia" w:cs="David"/>
          <w:b/>
          <w:bCs/>
          <w:sz w:val="28"/>
          <w:szCs w:val="28"/>
          <w:u w:val="single"/>
          <w:rtl/>
          <w:lang w:eastAsia="en-US"/>
        </w:rPr>
      </w:pPr>
      <w:r>
        <w:rPr>
          <w:rFonts w:eastAsiaTheme="minorEastAsia"/>
          <w:sz w:val="28"/>
          <w:szCs w:val="28"/>
          <w:rtl/>
          <w:lang w:eastAsia="en-US"/>
        </w:rPr>
        <w:t>3.</w:t>
      </w:r>
      <w:r>
        <w:rPr>
          <w:rFonts w:eastAsiaTheme="minorEastAsia"/>
          <w:sz w:val="28"/>
          <w:szCs w:val="28"/>
          <w:rtl/>
          <w:lang w:eastAsia="en-US"/>
        </w:rPr>
        <w:tab/>
      </w:r>
      <w:r>
        <w:rPr>
          <w:rFonts w:eastAsiaTheme="minorEastAsia"/>
          <w:b/>
          <w:bCs/>
          <w:sz w:val="28"/>
          <w:szCs w:val="28"/>
          <w:u w:val="single"/>
          <w:rtl/>
          <w:lang w:eastAsia="en-US"/>
        </w:rPr>
        <w:t>דיון:</w:t>
      </w:r>
    </w:p>
    <w:p w14:paraId="2CD9E6CD" w14:textId="77777777" w:rsidR="00000000" w:rsidRDefault="002F6856">
      <w:pPr>
        <w:snapToGrid/>
        <w:spacing w:line="360" w:lineRule="auto"/>
        <w:jc w:val="both"/>
        <w:rPr>
          <w:rFonts w:eastAsiaTheme="minorEastAsia" w:cs="David"/>
          <w:sz w:val="28"/>
          <w:szCs w:val="28"/>
          <w:rtl/>
          <w:lang w:eastAsia="en-US"/>
        </w:rPr>
      </w:pPr>
      <w:r>
        <w:rPr>
          <w:rFonts w:eastAsiaTheme="minorEastAsia"/>
          <w:sz w:val="28"/>
          <w:szCs w:val="28"/>
          <w:rtl/>
          <w:lang w:eastAsia="en-US"/>
        </w:rPr>
        <w:t> </w:t>
      </w:r>
    </w:p>
    <w:p w14:paraId="3E780C3B" w14:textId="77777777" w:rsidR="00000000" w:rsidRDefault="002F6856">
      <w:pPr>
        <w:snapToGrid/>
        <w:spacing w:line="360" w:lineRule="auto"/>
        <w:ind w:left="720" w:hanging="720"/>
        <w:jc w:val="both"/>
        <w:rPr>
          <w:rFonts w:eastAsiaTheme="minorEastAsia" w:cs="David"/>
          <w:sz w:val="28"/>
          <w:szCs w:val="28"/>
          <w:rtl/>
          <w:lang w:eastAsia="en-US"/>
        </w:rPr>
      </w:pPr>
      <w:r>
        <w:rPr>
          <w:rFonts w:eastAsiaTheme="minorEastAsia"/>
          <w:sz w:val="28"/>
          <w:szCs w:val="28"/>
          <w:rtl/>
          <w:lang w:eastAsia="en-US"/>
        </w:rPr>
        <w:tab/>
        <w:t xml:space="preserve">סבור אני כי דין העתירה להדחות הן לעניין בקשת העותרת כי ביהמ"ש יצהיר כי אישור הניהול התקין שיש בידיה מורה כי תוקפו חל רטרואקטיבית לתחילת שנת </w:t>
      </w:r>
      <w:r>
        <w:rPr>
          <w:rFonts w:eastAsiaTheme="minorEastAsia"/>
          <w:sz w:val="28"/>
          <w:szCs w:val="28"/>
          <w:rtl/>
          <w:lang w:eastAsia="en-US"/>
        </w:rPr>
        <w:lastRenderedPageBreak/>
        <w:t>2004 והן בעניין בקשת העותרת לחייב את מחלקת הישיבות במשרד החינוך להביא את עניין תקציב התמיכה השנתית</w:t>
      </w:r>
      <w:r>
        <w:rPr>
          <w:rFonts w:eastAsiaTheme="minorEastAsia"/>
          <w:sz w:val="28"/>
          <w:szCs w:val="28"/>
          <w:rtl/>
          <w:lang w:eastAsia="en-US"/>
        </w:rPr>
        <w:t xml:space="preserve"> של העותרת בפני ועדת התמיכות. כפי שיפורט להלן, סבור אני כי יש לדחות את העתירה הן מאחר וסבור אני כי העותרת באה בידיים לא נקיות ואינני סבור כי נפל פגם בהחלטות נשוא העתירה והן מטעם של שיהוי בהגשת העתירה. עם זאת, ובטרם אתייחס לגוף העתירה, אתייחס לסוגיית הסמכות</w:t>
      </w:r>
      <w:r>
        <w:rPr>
          <w:rFonts w:eastAsiaTheme="minorEastAsia"/>
          <w:sz w:val="28"/>
          <w:szCs w:val="28"/>
          <w:rtl/>
          <w:lang w:eastAsia="en-US"/>
        </w:rPr>
        <w:t xml:space="preserve"> המקומית והעניינית. </w:t>
      </w:r>
    </w:p>
    <w:p w14:paraId="1E7A1165" w14:textId="77777777" w:rsidR="00000000" w:rsidRDefault="002F6856">
      <w:pPr>
        <w:snapToGrid/>
        <w:spacing w:line="360" w:lineRule="auto"/>
        <w:jc w:val="both"/>
        <w:rPr>
          <w:rFonts w:eastAsiaTheme="minorEastAsia" w:cs="David"/>
          <w:sz w:val="28"/>
          <w:szCs w:val="28"/>
          <w:rtl/>
          <w:lang w:eastAsia="en-US"/>
        </w:rPr>
      </w:pPr>
      <w:r>
        <w:rPr>
          <w:rFonts w:eastAsiaTheme="minorEastAsia"/>
          <w:sz w:val="28"/>
          <w:szCs w:val="28"/>
          <w:rtl/>
          <w:lang w:eastAsia="en-US"/>
        </w:rPr>
        <w:t> </w:t>
      </w:r>
    </w:p>
    <w:p w14:paraId="4BFA20FD" w14:textId="77777777" w:rsidR="00000000" w:rsidRDefault="002F6856">
      <w:pPr>
        <w:suppressLineNumbers/>
        <w:snapToGrid/>
        <w:spacing w:line="360" w:lineRule="auto"/>
        <w:ind w:left="720" w:hanging="720"/>
        <w:jc w:val="both"/>
        <w:rPr>
          <w:rFonts w:eastAsiaTheme="minorEastAsia" w:cs="David"/>
          <w:b/>
          <w:bCs/>
          <w:sz w:val="28"/>
          <w:szCs w:val="28"/>
          <w:u w:val="single"/>
          <w:rtl/>
        </w:rPr>
      </w:pPr>
      <w:r>
        <w:rPr>
          <w:rFonts w:eastAsiaTheme="minorEastAsia"/>
          <w:b/>
          <w:bCs/>
          <w:sz w:val="28"/>
          <w:szCs w:val="28"/>
          <w:rtl/>
        </w:rPr>
        <w:tab/>
      </w:r>
      <w:r>
        <w:rPr>
          <w:rFonts w:eastAsiaTheme="minorEastAsia"/>
          <w:b/>
          <w:bCs/>
          <w:sz w:val="28"/>
          <w:szCs w:val="28"/>
          <w:u w:val="single"/>
          <w:rtl/>
        </w:rPr>
        <w:t>סמכות מקומית:</w:t>
      </w:r>
    </w:p>
    <w:p w14:paraId="55D066D2" w14:textId="77777777" w:rsidR="00000000" w:rsidRDefault="002F6856">
      <w:pPr>
        <w:suppressLineNumbers/>
        <w:snapToGrid/>
        <w:spacing w:line="360" w:lineRule="auto"/>
        <w:ind w:left="720"/>
        <w:jc w:val="both"/>
        <w:rPr>
          <w:rFonts w:eastAsiaTheme="minorEastAsia" w:cs="David"/>
          <w:sz w:val="28"/>
          <w:szCs w:val="28"/>
          <w:rtl/>
        </w:rPr>
      </w:pPr>
      <w:r>
        <w:rPr>
          <w:rFonts w:eastAsiaTheme="minorEastAsia"/>
          <w:sz w:val="28"/>
          <w:szCs w:val="28"/>
          <w:rtl/>
        </w:rPr>
        <w:t>הסמכות המקומית לדון בעתירה כנגד החלטת רשות מנהלית מסורה לבית המשפט שבתחום שיפוטו התקבלה ההחלטה המנהלית נשוא אותה עתירה. מכאן שלכאורה, מאחר שהסעד העיקרי הינו עתירה כנגד החלטת רשם העמותות וכן כנגד החלטת משרד החינוך שלא ל</w:t>
      </w:r>
      <w:r>
        <w:rPr>
          <w:rFonts w:eastAsiaTheme="minorEastAsia"/>
          <w:sz w:val="28"/>
          <w:szCs w:val="28"/>
          <w:rtl/>
        </w:rPr>
        <w:t xml:space="preserve">הביא שנית את עניין בקשת העותרת לתמיכה בפני ועדת התמיכות, ומאחר והמדובר בשני מוסדות הנמצאים בירושלים ואשר החלטותיהם ניתנו בירושלים, על פי כל המסמכים שצורפו הן לעתירה והן לתגובה, הרי שהסמכות המקומית לדון בעתירה מסורה לבית המשפט לעניינים מנהליים, שבבית המשפט </w:t>
      </w:r>
      <w:r>
        <w:rPr>
          <w:rFonts w:eastAsiaTheme="minorEastAsia"/>
          <w:sz w:val="28"/>
          <w:szCs w:val="28"/>
          <w:rtl/>
        </w:rPr>
        <w:t xml:space="preserve">המחוזי בירושלים. די בכך כדי שהעתירה תדחה בהעדר סמכות מקומית. ואולם, סבור אני כי יש לדחות את העתירה גם לגופו של עניין, כפי שיפורט בהמשך. </w:t>
      </w:r>
    </w:p>
    <w:p w14:paraId="3705691F" w14:textId="77777777" w:rsidR="00000000" w:rsidRDefault="002F6856">
      <w:pPr>
        <w:snapToGrid/>
        <w:spacing w:line="360" w:lineRule="auto"/>
        <w:jc w:val="both"/>
        <w:rPr>
          <w:rFonts w:eastAsiaTheme="minorEastAsia" w:cs="David"/>
          <w:sz w:val="28"/>
          <w:szCs w:val="28"/>
          <w:rtl/>
          <w:lang w:eastAsia="en-US"/>
        </w:rPr>
      </w:pPr>
      <w:r>
        <w:rPr>
          <w:rFonts w:eastAsiaTheme="minorEastAsia"/>
          <w:sz w:val="28"/>
          <w:szCs w:val="28"/>
          <w:rtl/>
          <w:lang w:eastAsia="en-US"/>
        </w:rPr>
        <w:t> </w:t>
      </w:r>
    </w:p>
    <w:p w14:paraId="659E9424" w14:textId="77777777" w:rsidR="00000000" w:rsidRDefault="002F6856">
      <w:pPr>
        <w:snapToGrid/>
        <w:spacing w:line="360" w:lineRule="auto"/>
        <w:jc w:val="both"/>
        <w:rPr>
          <w:rFonts w:eastAsiaTheme="minorEastAsia" w:cs="David"/>
          <w:sz w:val="28"/>
          <w:szCs w:val="28"/>
          <w:rtl/>
          <w:lang w:eastAsia="en-US"/>
        </w:rPr>
      </w:pPr>
      <w:r>
        <w:rPr>
          <w:rFonts w:eastAsiaTheme="minorEastAsia"/>
          <w:sz w:val="28"/>
          <w:szCs w:val="28"/>
          <w:rtl/>
          <w:lang w:eastAsia="en-US"/>
        </w:rPr>
        <w:t> </w:t>
      </w:r>
    </w:p>
    <w:p w14:paraId="0FA606AB" w14:textId="77777777" w:rsidR="00000000" w:rsidRDefault="002F6856">
      <w:pPr>
        <w:snapToGrid/>
        <w:spacing w:line="360" w:lineRule="auto"/>
        <w:jc w:val="both"/>
        <w:rPr>
          <w:rFonts w:eastAsiaTheme="minorEastAsia" w:cs="David"/>
          <w:sz w:val="28"/>
          <w:szCs w:val="28"/>
          <w:rtl/>
          <w:lang w:eastAsia="en-US"/>
        </w:rPr>
      </w:pPr>
      <w:r>
        <w:rPr>
          <w:rFonts w:eastAsiaTheme="minorEastAsia"/>
          <w:sz w:val="28"/>
          <w:szCs w:val="28"/>
          <w:rtl/>
          <w:lang w:eastAsia="en-US"/>
        </w:rPr>
        <w:t> </w:t>
      </w:r>
    </w:p>
    <w:p w14:paraId="6F5A7C93" w14:textId="77777777" w:rsidR="00000000" w:rsidRDefault="002F6856">
      <w:pPr>
        <w:snapToGrid/>
        <w:spacing w:line="360" w:lineRule="auto"/>
        <w:ind w:left="720"/>
        <w:jc w:val="both"/>
        <w:rPr>
          <w:rFonts w:eastAsiaTheme="minorEastAsia" w:cs="David"/>
          <w:b/>
          <w:bCs/>
          <w:sz w:val="28"/>
          <w:szCs w:val="28"/>
          <w:u w:val="single"/>
          <w:rtl/>
          <w:lang w:eastAsia="en-US"/>
        </w:rPr>
      </w:pPr>
      <w:r>
        <w:rPr>
          <w:rFonts w:eastAsiaTheme="minorEastAsia"/>
          <w:b/>
          <w:bCs/>
          <w:sz w:val="28"/>
          <w:szCs w:val="28"/>
          <w:u w:val="single"/>
          <w:rtl/>
          <w:lang w:eastAsia="en-US"/>
        </w:rPr>
        <w:t>סמכות עניינית:</w:t>
      </w:r>
    </w:p>
    <w:p w14:paraId="7D6A04EA" w14:textId="77777777" w:rsidR="00000000" w:rsidRDefault="002F6856">
      <w:pPr>
        <w:snapToGrid/>
        <w:spacing w:line="360" w:lineRule="auto"/>
        <w:ind w:left="720"/>
        <w:jc w:val="both"/>
        <w:rPr>
          <w:rFonts w:eastAsiaTheme="minorEastAsia" w:cs="David"/>
          <w:sz w:val="28"/>
          <w:szCs w:val="28"/>
          <w:rtl/>
          <w:lang w:eastAsia="en-US"/>
        </w:rPr>
      </w:pPr>
      <w:r>
        <w:rPr>
          <w:rFonts w:eastAsiaTheme="minorEastAsia"/>
          <w:sz w:val="28"/>
          <w:szCs w:val="28"/>
          <w:rtl/>
          <w:lang w:eastAsia="en-US"/>
        </w:rPr>
        <w:t xml:space="preserve">על פי סעיף 3 לתוספת הראשונה לחוק בתי משפט לענינים מינהליים, התש"ס-2000, לביהמ"ש לעניינים מנהליים </w:t>
      </w:r>
      <w:r>
        <w:rPr>
          <w:rFonts w:eastAsiaTheme="minorEastAsia"/>
          <w:sz w:val="28"/>
          <w:szCs w:val="28"/>
          <w:rtl/>
          <w:lang w:eastAsia="en-US"/>
        </w:rPr>
        <w:t xml:space="preserve">סמכות לדון בעניינים הבאים: </w:t>
      </w:r>
    </w:p>
    <w:p w14:paraId="674B8C67" w14:textId="77777777" w:rsidR="00000000" w:rsidRDefault="002F6856">
      <w:pPr>
        <w:snapToGrid/>
        <w:spacing w:line="360" w:lineRule="auto"/>
        <w:ind w:left="720"/>
        <w:jc w:val="both"/>
        <w:rPr>
          <w:rFonts w:eastAsiaTheme="minorEastAsia" w:cs="David"/>
          <w:sz w:val="28"/>
          <w:szCs w:val="28"/>
          <w:rtl/>
          <w:lang w:eastAsia="en-US"/>
        </w:rPr>
      </w:pPr>
      <w:r>
        <w:rPr>
          <w:rFonts w:eastAsiaTheme="minorEastAsia"/>
          <w:sz w:val="28"/>
          <w:szCs w:val="28"/>
          <w:rtl/>
          <w:lang w:eastAsia="en-US"/>
        </w:rPr>
        <w:t> </w:t>
      </w:r>
    </w:p>
    <w:p w14:paraId="58562DF3" w14:textId="77777777" w:rsidR="00000000" w:rsidRDefault="002F6856">
      <w:pPr>
        <w:snapToGrid/>
        <w:spacing w:line="360" w:lineRule="auto"/>
        <w:ind w:left="1440" w:right="720"/>
        <w:jc w:val="both"/>
        <w:rPr>
          <w:rFonts w:eastAsiaTheme="minorEastAsia" w:cs="David"/>
          <w:b/>
          <w:bCs/>
          <w:sz w:val="28"/>
          <w:szCs w:val="28"/>
          <w:rtl/>
          <w:lang w:eastAsia="en-US"/>
        </w:rPr>
      </w:pPr>
      <w:r>
        <w:rPr>
          <w:rFonts w:eastAsiaTheme="minorEastAsia"/>
          <w:sz w:val="28"/>
          <w:szCs w:val="28"/>
          <w:rtl/>
          <w:lang w:eastAsia="en-US"/>
        </w:rPr>
        <w:t>"</w:t>
      </w:r>
      <w:r>
        <w:rPr>
          <w:rFonts w:eastAsiaTheme="minorEastAsia"/>
          <w:b/>
          <w:bCs/>
          <w:sz w:val="28"/>
          <w:szCs w:val="28"/>
          <w:rtl/>
          <w:lang w:eastAsia="en-US"/>
        </w:rPr>
        <w:t>חינוך - החלטה של רשות בעניני חינוך, למעט החלטת ממשלה והחלטת שר, ו</w:t>
      </w:r>
      <w:r>
        <w:rPr>
          <w:rFonts w:eastAsiaTheme="minorEastAsia"/>
          <w:b/>
          <w:bCs/>
          <w:sz w:val="28"/>
          <w:szCs w:val="28"/>
          <w:u w:val="single"/>
          <w:rtl/>
          <w:lang w:eastAsia="en-US"/>
        </w:rPr>
        <w:t>למעט</w:t>
      </w:r>
      <w:r>
        <w:rPr>
          <w:rFonts w:eastAsiaTheme="minorEastAsia"/>
          <w:b/>
          <w:bCs/>
          <w:sz w:val="28"/>
          <w:szCs w:val="28"/>
          <w:rtl/>
          <w:lang w:eastAsia="en-US"/>
        </w:rPr>
        <w:t xml:space="preserve">: </w:t>
      </w:r>
    </w:p>
    <w:p w14:paraId="7D2D97A5" w14:textId="77777777" w:rsidR="00000000" w:rsidRDefault="002F6856">
      <w:pPr>
        <w:pStyle w:val="a7"/>
        <w:ind w:left="1440"/>
        <w:rPr>
          <w:rFonts w:cs="David"/>
          <w:rtl/>
        </w:rPr>
      </w:pPr>
      <w:r>
        <w:rPr>
          <w:rFonts w:cs="David"/>
          <w:rtl/>
        </w:rPr>
        <w:lastRenderedPageBreak/>
        <w:t xml:space="preserve">(1) החלטה בעלת תחולה ארצית או מגזרית הקובעת כללים או הנחיות בענינים האלה: </w:t>
      </w:r>
    </w:p>
    <w:p w14:paraId="591F8303" w14:textId="77777777" w:rsidR="00000000" w:rsidRDefault="002F6856">
      <w:pPr>
        <w:snapToGrid/>
        <w:spacing w:line="360" w:lineRule="auto"/>
        <w:ind w:left="1440" w:right="720" w:firstLine="720"/>
        <w:jc w:val="both"/>
        <w:rPr>
          <w:rFonts w:eastAsiaTheme="minorEastAsia" w:cs="David"/>
          <w:b/>
          <w:bCs/>
          <w:sz w:val="28"/>
          <w:szCs w:val="28"/>
          <w:rtl/>
          <w:lang w:eastAsia="en-US"/>
        </w:rPr>
      </w:pPr>
      <w:r>
        <w:rPr>
          <w:rFonts w:eastAsiaTheme="minorEastAsia"/>
          <w:b/>
          <w:bCs/>
          <w:sz w:val="28"/>
          <w:szCs w:val="28"/>
          <w:rtl/>
          <w:lang w:eastAsia="en-US"/>
        </w:rPr>
        <w:t xml:space="preserve">(א) תקצוב; </w:t>
      </w:r>
    </w:p>
    <w:p w14:paraId="28F1DD7D" w14:textId="77777777" w:rsidR="00000000" w:rsidRDefault="002F6856">
      <w:pPr>
        <w:snapToGrid/>
        <w:spacing w:line="360" w:lineRule="auto"/>
        <w:ind w:left="1440" w:right="720" w:firstLine="720"/>
        <w:jc w:val="both"/>
        <w:rPr>
          <w:rFonts w:eastAsiaTheme="minorEastAsia" w:cs="David"/>
          <w:b/>
          <w:bCs/>
          <w:sz w:val="28"/>
          <w:szCs w:val="28"/>
          <w:rtl/>
          <w:lang w:eastAsia="en-US"/>
        </w:rPr>
      </w:pPr>
      <w:r>
        <w:rPr>
          <w:rFonts w:eastAsiaTheme="minorEastAsia"/>
          <w:b/>
          <w:bCs/>
          <w:sz w:val="28"/>
          <w:szCs w:val="28"/>
          <w:rtl/>
          <w:lang w:eastAsia="en-US"/>
        </w:rPr>
        <w:t xml:space="preserve">(ב) תכניות לימודים; </w:t>
      </w:r>
    </w:p>
    <w:p w14:paraId="61CABE41" w14:textId="77777777" w:rsidR="00000000" w:rsidRDefault="002F6856">
      <w:pPr>
        <w:snapToGrid/>
        <w:spacing w:line="360" w:lineRule="auto"/>
        <w:ind w:left="1440" w:right="720" w:firstLine="720"/>
        <w:jc w:val="both"/>
        <w:rPr>
          <w:rFonts w:eastAsiaTheme="minorEastAsia" w:cs="David"/>
          <w:b/>
          <w:bCs/>
          <w:sz w:val="28"/>
          <w:szCs w:val="28"/>
          <w:rtl/>
          <w:lang w:eastAsia="en-US"/>
        </w:rPr>
      </w:pPr>
      <w:r>
        <w:rPr>
          <w:rFonts w:eastAsiaTheme="minorEastAsia"/>
          <w:b/>
          <w:bCs/>
          <w:sz w:val="28"/>
          <w:szCs w:val="28"/>
          <w:rtl/>
          <w:lang w:eastAsia="en-US"/>
        </w:rPr>
        <w:t xml:space="preserve">(ג) הכשרת עובדי הוראה; </w:t>
      </w:r>
    </w:p>
    <w:p w14:paraId="39F1A625" w14:textId="77777777" w:rsidR="00000000" w:rsidRDefault="002F6856">
      <w:pPr>
        <w:snapToGrid/>
        <w:spacing w:line="360" w:lineRule="auto"/>
        <w:ind w:left="1440" w:right="720"/>
        <w:jc w:val="both"/>
        <w:rPr>
          <w:rFonts w:eastAsiaTheme="minorEastAsia" w:cs="David"/>
          <w:b/>
          <w:bCs/>
          <w:sz w:val="28"/>
          <w:szCs w:val="28"/>
          <w:rtl/>
          <w:lang w:eastAsia="en-US"/>
        </w:rPr>
      </w:pPr>
      <w:r>
        <w:rPr>
          <w:rFonts w:eastAsiaTheme="minorEastAsia"/>
          <w:b/>
          <w:bCs/>
          <w:sz w:val="28"/>
          <w:szCs w:val="28"/>
          <w:rtl/>
          <w:lang w:eastAsia="en-US"/>
        </w:rPr>
        <w:t xml:space="preserve">(2) </w:t>
      </w:r>
      <w:r>
        <w:rPr>
          <w:rFonts w:eastAsiaTheme="minorEastAsia"/>
          <w:b/>
          <w:bCs/>
          <w:sz w:val="28"/>
          <w:szCs w:val="28"/>
          <w:u w:val="single"/>
          <w:rtl/>
          <w:lang w:eastAsia="en-US"/>
        </w:rPr>
        <w:t xml:space="preserve">החלטה בענין מתן </w:t>
      </w:r>
      <w:r>
        <w:rPr>
          <w:rFonts w:eastAsiaTheme="minorEastAsia"/>
          <w:b/>
          <w:bCs/>
          <w:sz w:val="28"/>
          <w:szCs w:val="28"/>
          <w:u w:val="single"/>
          <w:rtl/>
          <w:lang w:eastAsia="en-US"/>
        </w:rPr>
        <w:t>תמיכות</w:t>
      </w:r>
      <w:r>
        <w:rPr>
          <w:rFonts w:eastAsiaTheme="minorEastAsia"/>
          <w:b/>
          <w:bCs/>
          <w:sz w:val="28"/>
          <w:szCs w:val="28"/>
          <w:rtl/>
          <w:lang w:eastAsia="en-US"/>
        </w:rPr>
        <w:t xml:space="preserve"> לפי סעיף 3א לחוק יסודות התקציב, התשמ"ה-1985 18; </w:t>
      </w:r>
    </w:p>
    <w:p w14:paraId="067FADD1" w14:textId="77777777" w:rsidR="00000000" w:rsidRDefault="002F6856">
      <w:pPr>
        <w:snapToGrid/>
        <w:spacing w:line="360" w:lineRule="auto"/>
        <w:ind w:left="720" w:right="720" w:firstLine="720"/>
        <w:jc w:val="both"/>
        <w:rPr>
          <w:rFonts w:eastAsiaTheme="minorEastAsia" w:cs="David"/>
          <w:sz w:val="28"/>
          <w:szCs w:val="28"/>
          <w:rtl/>
          <w:lang w:eastAsia="en-US"/>
        </w:rPr>
      </w:pPr>
      <w:r>
        <w:rPr>
          <w:rFonts w:eastAsiaTheme="minorEastAsia"/>
          <w:b/>
          <w:bCs/>
          <w:sz w:val="28"/>
          <w:szCs w:val="28"/>
          <w:rtl/>
          <w:lang w:eastAsia="en-US"/>
        </w:rPr>
        <w:t xml:space="preserve">(3) החלטה בעניני השכלה גבוהה". </w:t>
      </w:r>
    </w:p>
    <w:p w14:paraId="6B3BCC44" w14:textId="77777777" w:rsidR="00000000" w:rsidRDefault="002F6856">
      <w:pPr>
        <w:snapToGrid/>
        <w:spacing w:line="360" w:lineRule="auto"/>
        <w:jc w:val="both"/>
        <w:rPr>
          <w:rFonts w:eastAsiaTheme="minorEastAsia" w:cs="David"/>
          <w:sz w:val="28"/>
          <w:szCs w:val="28"/>
          <w:rtl/>
          <w:lang w:eastAsia="en-US"/>
        </w:rPr>
      </w:pPr>
      <w:r>
        <w:rPr>
          <w:rFonts w:eastAsiaTheme="minorEastAsia"/>
          <w:sz w:val="28"/>
          <w:szCs w:val="28"/>
          <w:rtl/>
          <w:lang w:eastAsia="en-US"/>
        </w:rPr>
        <w:tab/>
      </w:r>
      <w:r>
        <w:rPr>
          <w:rFonts w:eastAsiaTheme="minorEastAsia"/>
          <w:sz w:val="28"/>
          <w:szCs w:val="28"/>
          <w:rtl/>
          <w:lang w:eastAsia="en-US"/>
        </w:rPr>
        <w:tab/>
      </w:r>
      <w:r>
        <w:rPr>
          <w:rFonts w:eastAsiaTheme="minorEastAsia"/>
          <w:sz w:val="28"/>
          <w:szCs w:val="28"/>
          <w:rtl/>
          <w:lang w:eastAsia="en-US"/>
        </w:rPr>
        <w:tab/>
      </w:r>
      <w:r>
        <w:rPr>
          <w:rFonts w:eastAsiaTheme="minorEastAsia"/>
          <w:sz w:val="28"/>
          <w:szCs w:val="28"/>
          <w:rtl/>
          <w:lang w:eastAsia="en-US"/>
        </w:rPr>
        <w:tab/>
      </w:r>
      <w:r>
        <w:rPr>
          <w:rFonts w:eastAsiaTheme="minorEastAsia"/>
          <w:sz w:val="28"/>
          <w:szCs w:val="28"/>
          <w:rtl/>
          <w:lang w:eastAsia="en-US"/>
        </w:rPr>
        <w:tab/>
      </w:r>
      <w:r>
        <w:rPr>
          <w:rFonts w:eastAsiaTheme="minorEastAsia"/>
          <w:sz w:val="28"/>
          <w:szCs w:val="28"/>
          <w:rtl/>
          <w:lang w:eastAsia="en-US"/>
        </w:rPr>
        <w:tab/>
        <w:t xml:space="preserve">(ההדגשות שלי – ר.ש.). </w:t>
      </w:r>
    </w:p>
    <w:p w14:paraId="70184662" w14:textId="77777777" w:rsidR="00000000" w:rsidRDefault="002F6856">
      <w:pPr>
        <w:snapToGrid/>
        <w:spacing w:line="360" w:lineRule="auto"/>
        <w:jc w:val="both"/>
        <w:rPr>
          <w:rFonts w:eastAsiaTheme="minorEastAsia" w:cs="David"/>
          <w:sz w:val="28"/>
          <w:szCs w:val="28"/>
          <w:rtl/>
          <w:lang w:eastAsia="en-US"/>
        </w:rPr>
      </w:pPr>
      <w:r>
        <w:rPr>
          <w:rFonts w:eastAsiaTheme="minorEastAsia"/>
          <w:sz w:val="28"/>
          <w:szCs w:val="28"/>
          <w:rtl/>
          <w:lang w:eastAsia="en-US"/>
        </w:rPr>
        <w:t> </w:t>
      </w:r>
    </w:p>
    <w:p w14:paraId="6E511D34" w14:textId="77777777" w:rsidR="00000000" w:rsidRDefault="002F6856">
      <w:pPr>
        <w:snapToGrid/>
        <w:spacing w:line="360" w:lineRule="auto"/>
        <w:ind w:left="720" w:hanging="720"/>
        <w:jc w:val="both"/>
        <w:rPr>
          <w:rFonts w:eastAsiaTheme="minorEastAsia" w:cs="David"/>
          <w:sz w:val="28"/>
          <w:szCs w:val="28"/>
          <w:rtl/>
          <w:lang w:eastAsia="en-US"/>
        </w:rPr>
      </w:pPr>
      <w:r>
        <w:rPr>
          <w:rFonts w:eastAsiaTheme="minorEastAsia"/>
          <w:sz w:val="28"/>
          <w:szCs w:val="28"/>
          <w:rtl/>
          <w:lang w:eastAsia="en-US"/>
        </w:rPr>
        <w:tab/>
        <w:t>למעשה אין העותרת מבקשת כי בימ"ש זה יתערב בהחלטה שניתנה בעניין מתן תמיכה, אלא אחד הסעדים המבוקשים בעתירה הינו כי ביהמ"ש יורה למשרד החינוך</w:t>
      </w:r>
      <w:r>
        <w:rPr>
          <w:rFonts w:eastAsiaTheme="minorEastAsia"/>
          <w:sz w:val="28"/>
          <w:szCs w:val="28"/>
          <w:rtl/>
          <w:lang w:eastAsia="en-US"/>
        </w:rPr>
        <w:t xml:space="preserve"> להעביר שנית את בקשת העותרת בעניין תמיכה לועדת התמיכות, מאחר שבעת הגשת הבקשה המקורית נפלו פגמים בבקשה ובאישורים הנדרשים. אין המדובר בהחלטה של רשות בעניין מתן התמיכה או בעתירה כנגד הנוהל שלפיו יוגשו וידונו בקשות לקבלת תמיכה, על פי סעיף 3א' לחוק יסודות התקצי</w:t>
      </w:r>
      <w:r>
        <w:rPr>
          <w:rFonts w:eastAsiaTheme="minorEastAsia"/>
          <w:sz w:val="28"/>
          <w:szCs w:val="28"/>
          <w:rtl/>
          <w:lang w:eastAsia="en-US"/>
        </w:rPr>
        <w:t>ב ולכן אין העניין נופל בגדר החריג לסמכות ביהמ"ש לעניינים מנהליים הקבוע בסעיף 3 לתוספת לחוק בתי משפט לעניינים מינהליים.</w:t>
      </w:r>
    </w:p>
    <w:p w14:paraId="38DA3A9E" w14:textId="77777777" w:rsidR="00000000" w:rsidRDefault="002F6856">
      <w:pPr>
        <w:snapToGrid/>
        <w:spacing w:line="360" w:lineRule="auto"/>
        <w:jc w:val="both"/>
        <w:rPr>
          <w:rFonts w:eastAsiaTheme="minorEastAsia" w:cs="David"/>
          <w:sz w:val="28"/>
          <w:szCs w:val="28"/>
          <w:rtl/>
          <w:lang w:eastAsia="en-US"/>
        </w:rPr>
      </w:pPr>
      <w:r>
        <w:rPr>
          <w:rFonts w:eastAsiaTheme="minorEastAsia"/>
          <w:sz w:val="28"/>
          <w:szCs w:val="28"/>
          <w:rtl/>
          <w:lang w:eastAsia="en-US"/>
        </w:rPr>
        <w:t> </w:t>
      </w:r>
    </w:p>
    <w:p w14:paraId="27079A70" w14:textId="77777777" w:rsidR="00000000" w:rsidRDefault="002F6856">
      <w:pPr>
        <w:snapToGrid/>
        <w:spacing w:line="360" w:lineRule="auto"/>
        <w:ind w:left="720" w:hanging="720"/>
        <w:jc w:val="both"/>
        <w:rPr>
          <w:rFonts w:eastAsiaTheme="minorEastAsia" w:cs="David"/>
          <w:b/>
          <w:bCs/>
          <w:sz w:val="28"/>
          <w:szCs w:val="28"/>
          <w:u w:val="single"/>
          <w:rtl/>
          <w:lang w:eastAsia="en-US"/>
        </w:rPr>
      </w:pPr>
      <w:r>
        <w:rPr>
          <w:rFonts w:eastAsiaTheme="minorEastAsia"/>
          <w:b/>
          <w:bCs/>
          <w:sz w:val="28"/>
          <w:szCs w:val="28"/>
          <w:rtl/>
          <w:lang w:eastAsia="en-US"/>
        </w:rPr>
        <w:tab/>
      </w:r>
      <w:r>
        <w:rPr>
          <w:rFonts w:eastAsiaTheme="minorEastAsia"/>
          <w:b/>
          <w:bCs/>
          <w:sz w:val="28"/>
          <w:szCs w:val="28"/>
          <w:u w:val="single"/>
          <w:rtl/>
          <w:lang w:eastAsia="en-US"/>
        </w:rPr>
        <w:t>שיהוי:</w:t>
      </w:r>
    </w:p>
    <w:p w14:paraId="69BC88C3" w14:textId="77777777" w:rsidR="00000000" w:rsidRDefault="002F6856">
      <w:pPr>
        <w:snapToGrid/>
        <w:spacing w:line="360" w:lineRule="auto"/>
        <w:ind w:left="720" w:hanging="720"/>
        <w:jc w:val="both"/>
        <w:rPr>
          <w:rFonts w:eastAsiaTheme="minorEastAsia" w:cs="David"/>
          <w:sz w:val="28"/>
          <w:szCs w:val="28"/>
          <w:rtl/>
          <w:lang w:eastAsia="en-US"/>
        </w:rPr>
      </w:pPr>
      <w:r>
        <w:rPr>
          <w:rFonts w:eastAsiaTheme="minorEastAsia"/>
          <w:sz w:val="28"/>
          <w:szCs w:val="28"/>
          <w:rtl/>
          <w:lang w:eastAsia="en-US"/>
        </w:rPr>
        <w:tab/>
        <w:t>יש לדחות את העתירה מהטעם של שיהוי בהגשתה. המדובר באישור ניהול תקין שניתן ביום 17.11.04 ובבקשה לתקציב לשנת הכספים 2004. אמנם נו</w:t>
      </w:r>
      <w:r>
        <w:rPr>
          <w:rFonts w:eastAsiaTheme="minorEastAsia"/>
          <w:sz w:val="28"/>
          <w:szCs w:val="28"/>
          <w:rtl/>
          <w:lang w:eastAsia="en-US"/>
        </w:rPr>
        <w:t>הל בין העותרת לבין רשם העמותות קשר ובמסגרתו ביקשה העותרת להכיר באישור שניתן לה כאישור רטרואקטיבי לתחילת שנת 2004, אך רשם העמותות מסר לעותרת החלטתו בדבר סירובו להכיר באישור רטרואקטיבית כבר ביום 18.7.05 והמשיב 3 הודיע לעותרת שאיננו מתכוון להביא את עניינה בפנ</w:t>
      </w:r>
      <w:r>
        <w:rPr>
          <w:rFonts w:eastAsiaTheme="minorEastAsia"/>
          <w:sz w:val="28"/>
          <w:szCs w:val="28"/>
          <w:rtl/>
          <w:lang w:eastAsia="en-US"/>
        </w:rPr>
        <w:t xml:space="preserve">י ועדת התמיכות במכתב מיום 13.7.04. </w:t>
      </w:r>
    </w:p>
    <w:p w14:paraId="00D78506" w14:textId="77777777" w:rsidR="00000000" w:rsidRDefault="002F6856">
      <w:pPr>
        <w:snapToGrid/>
        <w:spacing w:line="360" w:lineRule="auto"/>
        <w:jc w:val="both"/>
        <w:rPr>
          <w:rFonts w:eastAsiaTheme="minorEastAsia" w:cs="David"/>
          <w:sz w:val="28"/>
          <w:szCs w:val="28"/>
          <w:rtl/>
          <w:lang w:eastAsia="en-US"/>
        </w:rPr>
      </w:pPr>
      <w:r>
        <w:rPr>
          <w:rFonts w:eastAsiaTheme="minorEastAsia"/>
          <w:sz w:val="28"/>
          <w:szCs w:val="28"/>
          <w:rtl/>
          <w:lang w:eastAsia="en-US"/>
        </w:rPr>
        <w:lastRenderedPageBreak/>
        <w:t> </w:t>
      </w:r>
    </w:p>
    <w:p w14:paraId="6716E509" w14:textId="77777777" w:rsidR="00000000" w:rsidRDefault="002F6856">
      <w:pPr>
        <w:snapToGrid/>
        <w:spacing w:line="360" w:lineRule="auto"/>
        <w:ind w:left="720" w:hanging="720"/>
        <w:jc w:val="both"/>
        <w:rPr>
          <w:rFonts w:eastAsiaTheme="minorEastAsia" w:cs="David"/>
          <w:sz w:val="28"/>
          <w:szCs w:val="28"/>
          <w:rtl/>
          <w:lang w:eastAsia="en-US"/>
        </w:rPr>
      </w:pPr>
      <w:r>
        <w:rPr>
          <w:rFonts w:eastAsiaTheme="minorEastAsia"/>
          <w:sz w:val="28"/>
          <w:szCs w:val="28"/>
          <w:rtl/>
          <w:lang w:eastAsia="en-US"/>
        </w:rPr>
        <w:tab/>
        <w:t>תקנה 3 לתקנות בתי משפט לענינים מינהליים (סדרי דין), התשס"א-2000, מורה כך:</w:t>
      </w:r>
    </w:p>
    <w:p w14:paraId="745D6A67" w14:textId="77777777" w:rsidR="00000000" w:rsidRDefault="002F6856">
      <w:pPr>
        <w:snapToGrid/>
        <w:spacing w:line="360" w:lineRule="auto"/>
        <w:jc w:val="both"/>
        <w:rPr>
          <w:rFonts w:eastAsiaTheme="minorEastAsia" w:cs="David"/>
          <w:b/>
          <w:bCs/>
          <w:sz w:val="28"/>
          <w:szCs w:val="28"/>
          <w:rtl/>
          <w:lang w:eastAsia="en-US"/>
        </w:rPr>
      </w:pPr>
      <w:r>
        <w:rPr>
          <w:rFonts w:eastAsiaTheme="minorEastAsia"/>
          <w:sz w:val="28"/>
          <w:szCs w:val="28"/>
          <w:rtl/>
          <w:lang w:eastAsia="en-US"/>
        </w:rPr>
        <w:t xml:space="preserve"> </w:t>
      </w:r>
      <w:r>
        <w:rPr>
          <w:rFonts w:eastAsiaTheme="minorEastAsia"/>
          <w:sz w:val="28"/>
          <w:szCs w:val="28"/>
          <w:rtl/>
          <w:lang w:eastAsia="en-US"/>
        </w:rPr>
        <w:tab/>
      </w:r>
      <w:r>
        <w:rPr>
          <w:rFonts w:eastAsiaTheme="minorEastAsia"/>
          <w:sz w:val="28"/>
          <w:szCs w:val="28"/>
          <w:rtl/>
          <w:lang w:eastAsia="en-US"/>
        </w:rPr>
        <w:tab/>
        <w:t>"</w:t>
      </w:r>
      <w:r>
        <w:rPr>
          <w:rFonts w:eastAsiaTheme="minorEastAsia"/>
          <w:b/>
          <w:bCs/>
          <w:sz w:val="28"/>
          <w:szCs w:val="28"/>
          <w:rtl/>
          <w:lang w:eastAsia="en-US"/>
        </w:rPr>
        <w:t xml:space="preserve">(א) עתירה תוגש במועד שנקבע לכך בדין. </w:t>
      </w:r>
    </w:p>
    <w:p w14:paraId="3EC7D872" w14:textId="77777777" w:rsidR="00000000" w:rsidRDefault="002F6856">
      <w:pPr>
        <w:snapToGrid/>
        <w:spacing w:line="360" w:lineRule="auto"/>
        <w:ind w:left="1440" w:right="720"/>
        <w:jc w:val="both"/>
        <w:rPr>
          <w:rFonts w:eastAsiaTheme="minorEastAsia" w:cs="David"/>
          <w:b/>
          <w:bCs/>
          <w:sz w:val="28"/>
          <w:szCs w:val="28"/>
          <w:rtl/>
          <w:lang w:eastAsia="en-US"/>
        </w:rPr>
      </w:pPr>
      <w:r>
        <w:rPr>
          <w:rFonts w:eastAsiaTheme="minorEastAsia"/>
          <w:b/>
          <w:bCs/>
          <w:sz w:val="28"/>
          <w:szCs w:val="28"/>
          <w:rtl/>
          <w:lang w:eastAsia="en-US"/>
        </w:rPr>
        <w:t xml:space="preserve">(ב) לא נקבע מועד כאמור, </w:t>
      </w:r>
      <w:r>
        <w:rPr>
          <w:rFonts w:eastAsiaTheme="minorEastAsia"/>
          <w:b/>
          <w:bCs/>
          <w:sz w:val="28"/>
          <w:szCs w:val="28"/>
          <w:u w:val="single"/>
          <w:rtl/>
          <w:lang w:eastAsia="en-US"/>
        </w:rPr>
        <w:t>תוגש העתירה בלא שיהוי</w:t>
      </w:r>
      <w:r>
        <w:rPr>
          <w:rFonts w:eastAsiaTheme="minorEastAsia"/>
          <w:b/>
          <w:bCs/>
          <w:sz w:val="28"/>
          <w:szCs w:val="28"/>
          <w:rtl/>
          <w:lang w:eastAsia="en-US"/>
        </w:rPr>
        <w:t>, לפי נסיבות הענין, ו</w:t>
      </w:r>
      <w:r>
        <w:rPr>
          <w:rFonts w:eastAsiaTheme="minorEastAsia"/>
          <w:b/>
          <w:bCs/>
          <w:sz w:val="28"/>
          <w:szCs w:val="28"/>
          <w:u w:val="single"/>
          <w:rtl/>
          <w:lang w:eastAsia="en-US"/>
        </w:rPr>
        <w:t>לא יאוחר מארבעים וחמישה ימים מיום ש</w:t>
      </w:r>
      <w:r>
        <w:rPr>
          <w:rFonts w:eastAsiaTheme="minorEastAsia"/>
          <w:b/>
          <w:bCs/>
          <w:sz w:val="28"/>
          <w:szCs w:val="28"/>
          <w:u w:val="single"/>
          <w:rtl/>
          <w:lang w:eastAsia="en-US"/>
        </w:rPr>
        <w:t>ההחלטה פורסמה כדין, או מיום שהעותר קיבל הודעה עליה או מיום שנודע לעותר עליה, לפי המוקדם</w:t>
      </w:r>
      <w:r>
        <w:rPr>
          <w:rFonts w:eastAsiaTheme="minorEastAsia"/>
          <w:b/>
          <w:bCs/>
          <w:sz w:val="28"/>
          <w:szCs w:val="28"/>
          <w:rtl/>
          <w:lang w:eastAsia="en-US"/>
        </w:rPr>
        <w:t xml:space="preserve">. </w:t>
      </w:r>
    </w:p>
    <w:p w14:paraId="13C75DF7" w14:textId="77777777" w:rsidR="00000000" w:rsidRDefault="002F6856">
      <w:pPr>
        <w:snapToGrid/>
        <w:spacing w:line="360" w:lineRule="auto"/>
        <w:ind w:left="1440" w:right="720"/>
        <w:jc w:val="both"/>
        <w:rPr>
          <w:rFonts w:eastAsiaTheme="minorEastAsia" w:cs="David"/>
          <w:sz w:val="28"/>
          <w:szCs w:val="28"/>
          <w:rtl/>
          <w:lang w:eastAsia="en-US"/>
        </w:rPr>
      </w:pPr>
      <w:r>
        <w:rPr>
          <w:rFonts w:eastAsiaTheme="minorEastAsia"/>
          <w:b/>
          <w:bCs/>
          <w:sz w:val="28"/>
          <w:szCs w:val="28"/>
          <w:rtl/>
          <w:lang w:eastAsia="en-US"/>
        </w:rPr>
        <w:t>(ג) בית המשפט רשאי להאריך מועד שנקבע להגשת עתירה כאמור בתקנות משנה (א) ו-(ב), לאחר שנתן למשיב הזדמנות להגיב לבקשת ההארכה, אם ראה הצדקה לכך</w:t>
      </w:r>
      <w:r>
        <w:rPr>
          <w:rFonts w:eastAsiaTheme="minorEastAsia"/>
          <w:sz w:val="28"/>
          <w:szCs w:val="28"/>
          <w:rtl/>
          <w:lang w:eastAsia="en-US"/>
        </w:rPr>
        <w:t>".</w:t>
      </w:r>
    </w:p>
    <w:p w14:paraId="626C8A52" w14:textId="77777777" w:rsidR="00000000" w:rsidRDefault="002F6856">
      <w:pPr>
        <w:snapToGrid/>
        <w:spacing w:line="360" w:lineRule="auto"/>
        <w:ind w:left="720" w:right="720"/>
        <w:jc w:val="both"/>
        <w:rPr>
          <w:rFonts w:eastAsiaTheme="minorEastAsia" w:cs="David"/>
          <w:sz w:val="28"/>
          <w:szCs w:val="28"/>
          <w:rtl/>
          <w:lang w:eastAsia="en-US"/>
        </w:rPr>
      </w:pPr>
      <w:r>
        <w:rPr>
          <w:rFonts w:eastAsiaTheme="minorEastAsia"/>
          <w:sz w:val="28"/>
          <w:szCs w:val="28"/>
          <w:rtl/>
          <w:lang w:eastAsia="en-US"/>
        </w:rPr>
        <w:tab/>
      </w:r>
      <w:r>
        <w:rPr>
          <w:rFonts w:eastAsiaTheme="minorEastAsia"/>
          <w:sz w:val="28"/>
          <w:szCs w:val="28"/>
          <w:rtl/>
          <w:lang w:eastAsia="en-US"/>
        </w:rPr>
        <w:tab/>
      </w:r>
      <w:r>
        <w:rPr>
          <w:rFonts w:eastAsiaTheme="minorEastAsia"/>
          <w:sz w:val="28"/>
          <w:szCs w:val="28"/>
          <w:rtl/>
          <w:lang w:eastAsia="en-US"/>
        </w:rPr>
        <w:tab/>
      </w:r>
      <w:r>
        <w:rPr>
          <w:rFonts w:eastAsiaTheme="minorEastAsia"/>
          <w:sz w:val="28"/>
          <w:szCs w:val="28"/>
          <w:rtl/>
          <w:lang w:eastAsia="en-US"/>
        </w:rPr>
        <w:tab/>
      </w:r>
      <w:r>
        <w:rPr>
          <w:rFonts w:eastAsiaTheme="minorEastAsia"/>
          <w:sz w:val="28"/>
          <w:szCs w:val="28"/>
          <w:rtl/>
          <w:lang w:eastAsia="en-US"/>
        </w:rPr>
        <w:tab/>
      </w:r>
      <w:r>
        <w:rPr>
          <w:rFonts w:eastAsiaTheme="minorEastAsia"/>
          <w:sz w:val="28"/>
          <w:szCs w:val="28"/>
          <w:rtl/>
          <w:lang w:eastAsia="en-US"/>
        </w:rPr>
        <w:tab/>
        <w:t>(ההדגשות שלי – ר.ש</w:t>
      </w:r>
      <w:r>
        <w:rPr>
          <w:rFonts w:eastAsiaTheme="minorEastAsia"/>
          <w:sz w:val="28"/>
          <w:szCs w:val="28"/>
          <w:rtl/>
          <w:lang w:eastAsia="en-US"/>
        </w:rPr>
        <w:t xml:space="preserve">.). </w:t>
      </w:r>
    </w:p>
    <w:p w14:paraId="79035177" w14:textId="77777777" w:rsidR="00000000" w:rsidRDefault="002F6856">
      <w:pPr>
        <w:snapToGrid/>
        <w:spacing w:line="360" w:lineRule="auto"/>
        <w:ind w:right="720"/>
        <w:jc w:val="both"/>
        <w:rPr>
          <w:rFonts w:eastAsiaTheme="minorEastAsia" w:cs="David"/>
          <w:sz w:val="28"/>
          <w:szCs w:val="28"/>
          <w:rtl/>
          <w:lang w:eastAsia="en-US"/>
        </w:rPr>
      </w:pPr>
      <w:r>
        <w:rPr>
          <w:rFonts w:eastAsiaTheme="minorEastAsia"/>
          <w:sz w:val="28"/>
          <w:szCs w:val="28"/>
          <w:rtl/>
          <w:lang w:eastAsia="en-US"/>
        </w:rPr>
        <w:t> </w:t>
      </w:r>
    </w:p>
    <w:p w14:paraId="0F592EBB" w14:textId="77777777" w:rsidR="00000000" w:rsidRDefault="002F6856">
      <w:pPr>
        <w:snapToGrid/>
        <w:spacing w:line="360" w:lineRule="auto"/>
        <w:ind w:left="720" w:hanging="720"/>
        <w:jc w:val="both"/>
        <w:rPr>
          <w:rFonts w:eastAsiaTheme="minorEastAsia" w:cs="David"/>
          <w:sz w:val="28"/>
          <w:szCs w:val="28"/>
          <w:rtl/>
          <w:lang w:eastAsia="en-US"/>
        </w:rPr>
      </w:pPr>
      <w:r>
        <w:rPr>
          <w:rFonts w:eastAsiaTheme="minorEastAsia"/>
          <w:sz w:val="28"/>
          <w:szCs w:val="28"/>
          <w:rtl/>
          <w:lang w:eastAsia="en-US"/>
        </w:rPr>
        <w:tab/>
        <w:t xml:space="preserve">כאמור, מדובר בהחלטות שהתקבלו ונמסרו לעותרת כבר בשנת 2004 ו- 2005 ועניינן תקציב המדינה לשנת 2004 ולכן הגשת העתירה במרץ 2006 מהווה שיהוי אשר לא הובא לו טעם של ממש על ידי העותרת. על כן, דין העתירה להדחות על הסף מטעם של שיהוי בהגשתה. </w:t>
      </w:r>
    </w:p>
    <w:p w14:paraId="6B627002" w14:textId="77777777" w:rsidR="00000000" w:rsidRDefault="002F6856">
      <w:pPr>
        <w:snapToGrid/>
        <w:spacing w:line="360" w:lineRule="auto"/>
        <w:jc w:val="both"/>
        <w:rPr>
          <w:rFonts w:eastAsiaTheme="minorEastAsia" w:cs="David"/>
          <w:sz w:val="28"/>
          <w:szCs w:val="28"/>
          <w:rtl/>
          <w:lang w:eastAsia="en-US"/>
        </w:rPr>
      </w:pPr>
      <w:r>
        <w:rPr>
          <w:rFonts w:eastAsiaTheme="minorEastAsia"/>
          <w:sz w:val="28"/>
          <w:szCs w:val="28"/>
          <w:rtl/>
          <w:lang w:eastAsia="en-US"/>
        </w:rPr>
        <w:t> </w:t>
      </w:r>
    </w:p>
    <w:p w14:paraId="3A6FDFC8" w14:textId="77777777" w:rsidR="00000000" w:rsidRDefault="002F6856">
      <w:pPr>
        <w:snapToGrid/>
        <w:spacing w:line="360" w:lineRule="auto"/>
        <w:ind w:left="720" w:hanging="720"/>
        <w:jc w:val="both"/>
        <w:rPr>
          <w:rFonts w:eastAsiaTheme="minorEastAsia" w:cs="David"/>
          <w:sz w:val="28"/>
          <w:szCs w:val="28"/>
          <w:rtl/>
          <w:lang w:eastAsia="en-US"/>
        </w:rPr>
      </w:pPr>
      <w:r>
        <w:rPr>
          <w:rFonts w:eastAsiaTheme="minorEastAsia"/>
          <w:sz w:val="28"/>
          <w:szCs w:val="28"/>
          <w:rtl/>
          <w:lang w:eastAsia="en-US"/>
        </w:rPr>
        <w:tab/>
        <w:t>יש לציין אף כ</w:t>
      </w:r>
      <w:r>
        <w:rPr>
          <w:rFonts w:eastAsiaTheme="minorEastAsia"/>
          <w:sz w:val="28"/>
          <w:szCs w:val="28"/>
          <w:rtl/>
          <w:lang w:eastAsia="en-US"/>
        </w:rPr>
        <w:t>י העותרת השתהתה בכל מהלכיה להשגת אישור הניהול התקין והגשת הבקשה לתמיכה באופן תקין עם האישור, כפי שיפורט בהמשך. על כן, בפרט כאשר מדובר בתקציב לשנת 2004 אשר כבר חולק, מדובר במצב בו הרשות שינתה מצבה לרעה ויש לדחות את העתירה אך בשל טעם זה. ראה לעניין זה בג"ץ 8</w:t>
      </w:r>
      <w:r>
        <w:rPr>
          <w:rFonts w:eastAsiaTheme="minorEastAsia"/>
          <w:sz w:val="28"/>
          <w:szCs w:val="28"/>
          <w:rtl/>
          <w:lang w:eastAsia="en-US"/>
        </w:rPr>
        <w:t xml:space="preserve">445/99 </w:t>
      </w:r>
      <w:r>
        <w:rPr>
          <w:rFonts w:eastAsiaTheme="minorEastAsia"/>
          <w:b/>
          <w:bCs/>
          <w:sz w:val="28"/>
          <w:szCs w:val="28"/>
          <w:rtl/>
          <w:lang w:eastAsia="en-US"/>
        </w:rPr>
        <w:t>תנועת נוער צבאות ה' שעל יד נ' משרד החינוך</w:t>
      </w:r>
      <w:r>
        <w:rPr>
          <w:rFonts w:eastAsiaTheme="minorEastAsia"/>
          <w:sz w:val="28"/>
          <w:szCs w:val="28"/>
          <w:rtl/>
          <w:lang w:eastAsia="en-US"/>
        </w:rPr>
        <w:t>, פ"ד נו(3), 241, עמ' 242-243, שם נאמר :</w:t>
      </w:r>
    </w:p>
    <w:p w14:paraId="70E8DA96" w14:textId="77777777" w:rsidR="00000000" w:rsidRDefault="002F6856">
      <w:pPr>
        <w:snapToGrid/>
        <w:spacing w:line="360" w:lineRule="auto"/>
        <w:ind w:left="1440" w:right="720"/>
        <w:jc w:val="both"/>
        <w:rPr>
          <w:rFonts w:eastAsiaTheme="minorEastAsia" w:cs="David"/>
          <w:sz w:val="28"/>
          <w:szCs w:val="28"/>
          <w:rtl/>
          <w:lang w:eastAsia="en-US"/>
        </w:rPr>
      </w:pPr>
      <w:r>
        <w:rPr>
          <w:rFonts w:eastAsiaTheme="minorEastAsia"/>
          <w:sz w:val="28"/>
          <w:szCs w:val="28"/>
          <w:rtl/>
          <w:lang w:eastAsia="en-US"/>
        </w:rPr>
        <w:t>"</w:t>
      </w:r>
      <w:r>
        <w:rPr>
          <w:rFonts w:eastAsiaTheme="minorEastAsia"/>
          <w:b/>
          <w:bCs/>
          <w:sz w:val="28"/>
          <w:szCs w:val="28"/>
          <w:rtl/>
          <w:lang w:eastAsia="en-US"/>
        </w:rPr>
        <w:t xml:space="preserve">גם לו אמרנו שהעותרת זכאית למבוקשה - כך טוענת המדינה - כספים מניין יילקחו ליתן לה, והרי החבית נתרוקנה מתכולתה כליל? אכן, זה כלל השיהוי בפניה לבג"ץ: שאם שקט העותר על </w:t>
      </w:r>
      <w:r>
        <w:rPr>
          <w:rFonts w:eastAsiaTheme="minorEastAsia"/>
          <w:b/>
          <w:bCs/>
          <w:sz w:val="28"/>
          <w:szCs w:val="28"/>
          <w:rtl/>
          <w:lang w:eastAsia="en-US"/>
        </w:rPr>
        <w:lastRenderedPageBreak/>
        <w:t>שמ</w:t>
      </w:r>
      <w:r>
        <w:rPr>
          <w:rFonts w:eastAsiaTheme="minorEastAsia"/>
          <w:b/>
          <w:bCs/>
          <w:sz w:val="28"/>
          <w:szCs w:val="28"/>
          <w:rtl/>
          <w:lang w:eastAsia="en-US"/>
        </w:rPr>
        <w:t>ריו בהגשת עתירה, וביני-לביני שינו הרשויות את מצבן לרעה, כי אז יכולה עתירה שתידחה אך בשל שיהוי בלבד</w:t>
      </w:r>
      <w:r>
        <w:rPr>
          <w:rFonts w:eastAsiaTheme="minorEastAsia"/>
          <w:sz w:val="28"/>
          <w:szCs w:val="28"/>
          <w:rtl/>
          <w:lang w:eastAsia="en-US"/>
        </w:rPr>
        <w:t>".</w:t>
      </w:r>
    </w:p>
    <w:p w14:paraId="3016B204" w14:textId="77777777" w:rsidR="00000000" w:rsidRDefault="002F6856">
      <w:pPr>
        <w:snapToGrid/>
        <w:spacing w:line="360" w:lineRule="auto"/>
        <w:jc w:val="both"/>
        <w:rPr>
          <w:rFonts w:eastAsiaTheme="minorEastAsia" w:cs="David"/>
          <w:sz w:val="28"/>
          <w:szCs w:val="28"/>
          <w:rtl/>
          <w:lang w:eastAsia="en-US"/>
        </w:rPr>
      </w:pPr>
      <w:r>
        <w:rPr>
          <w:rFonts w:eastAsiaTheme="minorEastAsia"/>
          <w:sz w:val="28"/>
          <w:szCs w:val="28"/>
          <w:rtl/>
          <w:lang w:eastAsia="en-US"/>
        </w:rPr>
        <w:t> </w:t>
      </w:r>
    </w:p>
    <w:p w14:paraId="71B8114D" w14:textId="77777777" w:rsidR="00000000" w:rsidRDefault="002F6856">
      <w:pPr>
        <w:snapToGrid/>
        <w:spacing w:line="360" w:lineRule="auto"/>
        <w:ind w:left="720"/>
        <w:jc w:val="both"/>
        <w:rPr>
          <w:rFonts w:eastAsiaTheme="minorEastAsia" w:cs="David"/>
          <w:b/>
          <w:bCs/>
          <w:sz w:val="28"/>
          <w:szCs w:val="28"/>
          <w:u w:val="single"/>
          <w:rtl/>
          <w:lang w:eastAsia="en-US"/>
        </w:rPr>
      </w:pPr>
      <w:r>
        <w:rPr>
          <w:rFonts w:eastAsiaTheme="minorEastAsia"/>
          <w:b/>
          <w:bCs/>
          <w:sz w:val="28"/>
          <w:szCs w:val="28"/>
          <w:u w:val="single"/>
          <w:rtl/>
          <w:lang w:eastAsia="en-US"/>
        </w:rPr>
        <w:t>סבירותן של ההחלטות נשוא העתירה:</w:t>
      </w:r>
    </w:p>
    <w:p w14:paraId="3D7CAC9C" w14:textId="77777777" w:rsidR="00000000" w:rsidRDefault="002F6856">
      <w:pPr>
        <w:snapToGrid/>
        <w:spacing w:line="360" w:lineRule="auto"/>
        <w:ind w:left="720" w:hanging="720"/>
        <w:jc w:val="both"/>
        <w:rPr>
          <w:rFonts w:eastAsiaTheme="minorEastAsia" w:cs="David"/>
          <w:sz w:val="28"/>
          <w:szCs w:val="28"/>
          <w:rtl/>
          <w:lang w:eastAsia="en-US"/>
        </w:rPr>
      </w:pPr>
      <w:r>
        <w:rPr>
          <w:rFonts w:eastAsiaTheme="minorEastAsia"/>
          <w:sz w:val="28"/>
          <w:szCs w:val="28"/>
          <w:rtl/>
          <w:lang w:eastAsia="en-US"/>
        </w:rPr>
        <w:tab/>
        <w:t>לא הוצגו בפני פגמים של ממש בקבלת ההחלטה שלא להחיל את אישור הניהול התקין רטרואקטיבית לתחילת שנת 2004 ובהחלטה לא להביא שני</w:t>
      </w:r>
      <w:r>
        <w:rPr>
          <w:rFonts w:eastAsiaTheme="minorEastAsia"/>
          <w:sz w:val="28"/>
          <w:szCs w:val="28"/>
          <w:rtl/>
          <w:lang w:eastAsia="en-US"/>
        </w:rPr>
        <w:t>ת את עניין תקציב התמיכה השנתית של העותרת בפני ועדת התמיכות, מאחר שחלף המועד לכך. מהמסמכים שהוגשו בפני ניתן לראות כי העותרת הגישה באיחור ניכר לרשם העמותות את המסמכים הדרושים על פי חוק העמותות, תש"ם – 1980, מסמכים שהגשתם הינה דרישת סף לשם קבלת אישור ניהול תק</w:t>
      </w:r>
      <w:r>
        <w:rPr>
          <w:rFonts w:eastAsiaTheme="minorEastAsia"/>
          <w:sz w:val="28"/>
          <w:szCs w:val="28"/>
          <w:rtl/>
          <w:lang w:eastAsia="en-US"/>
        </w:rPr>
        <w:t>ין. העותרת הגישה בקשתה לקבלת אישור ניהול תקין לרשם העמותות ביום 17.12.03, אך לא צירפה את המסמכים הנדרשים. ניתנה לעותרת ארכה להשלים את הגשת המסמכים ולשם כך הונפק לה אישור זמני בדבר ניהול תקין, התקף רק עד ליום 31.3.04. באישור הזמני נכתב במפורש כי חסרים מסמכי</w:t>
      </w:r>
      <w:r>
        <w:rPr>
          <w:rFonts w:eastAsiaTheme="minorEastAsia"/>
          <w:sz w:val="28"/>
          <w:szCs w:val="28"/>
          <w:rtl/>
          <w:lang w:eastAsia="en-US"/>
        </w:rPr>
        <w:t>ם מסוימים שחוק העמותות מחייב הגשתם וזאת על מנת שהעותרת תוכל לקבל אישור ניהול תקין קבוע. מדובר במסמכים שהינם מהותיים לשם קביעה כי העותרת מנהלת את העמותה ניהול תקין, כגון דו"ח כספי, פרוטוקול אסיפה כללית, רשימת מקבלי השכר וכדומה. העותרת לא הגישה את המסמכים הד</w:t>
      </w:r>
      <w:r>
        <w:rPr>
          <w:rFonts w:eastAsiaTheme="minorEastAsia"/>
          <w:sz w:val="28"/>
          <w:szCs w:val="28"/>
          <w:rtl/>
          <w:lang w:eastAsia="en-US"/>
        </w:rPr>
        <w:t>רושים עד למועד הקבוע בחוק, 31.1.04, כפי שנכתב במפורש באישור הזמני שיש לעשות, ואף לא הגישה את המסמכים בחודשים הבאים לאחר מכן. רק לקראת סוף שנת 2004, ביום 16.11.04 השלימה העותרת את הגשת המסמכים לשנת 2004 והאישור בדבר ניהול תקין הוצא מיד לאחר מכן, ביום 17.11.</w:t>
      </w:r>
      <w:r>
        <w:rPr>
          <w:rFonts w:eastAsiaTheme="minorEastAsia"/>
          <w:sz w:val="28"/>
          <w:szCs w:val="28"/>
          <w:rtl/>
          <w:lang w:eastAsia="en-US"/>
        </w:rPr>
        <w:t xml:space="preserve">04. </w:t>
      </w:r>
    </w:p>
    <w:p w14:paraId="72F6BD67" w14:textId="77777777" w:rsidR="00000000" w:rsidRDefault="002F6856">
      <w:pPr>
        <w:snapToGrid/>
        <w:spacing w:line="360" w:lineRule="auto"/>
        <w:jc w:val="both"/>
        <w:rPr>
          <w:rFonts w:eastAsiaTheme="minorEastAsia" w:cs="David"/>
          <w:sz w:val="28"/>
          <w:szCs w:val="28"/>
          <w:rtl/>
          <w:lang w:eastAsia="en-US"/>
        </w:rPr>
      </w:pPr>
      <w:r>
        <w:rPr>
          <w:rFonts w:eastAsiaTheme="minorEastAsia"/>
          <w:sz w:val="28"/>
          <w:szCs w:val="28"/>
          <w:rtl/>
          <w:lang w:eastAsia="en-US"/>
        </w:rPr>
        <w:t> </w:t>
      </w:r>
    </w:p>
    <w:p w14:paraId="7ECD055C" w14:textId="77777777" w:rsidR="00000000" w:rsidRDefault="002F6856">
      <w:pPr>
        <w:snapToGrid/>
        <w:spacing w:line="360" w:lineRule="auto"/>
        <w:ind w:left="720" w:hanging="720"/>
        <w:jc w:val="both"/>
        <w:rPr>
          <w:rFonts w:eastAsiaTheme="minorEastAsia" w:cs="David"/>
          <w:sz w:val="28"/>
          <w:szCs w:val="28"/>
          <w:rtl/>
          <w:lang w:eastAsia="en-US"/>
        </w:rPr>
      </w:pPr>
      <w:r>
        <w:rPr>
          <w:rFonts w:eastAsiaTheme="minorEastAsia"/>
          <w:sz w:val="28"/>
          <w:szCs w:val="28"/>
          <w:rtl/>
          <w:lang w:eastAsia="en-US"/>
        </w:rPr>
        <w:tab/>
        <w:t>העותרת לא צירפה לעתירתה את התכתובת שהתקיימה בין רשם העמותות לבין העותרת. ממכתבים שצורפו על ידי המשיבים לכתב תגובתם ניתן לראות כי העותרת הגישה לרשם העמותות מסמכים מסוימים, אשר נערכו רק בחודשים ספטמבר ואוקטובר 2004 והעותרת אף מתנצלת על העיכוב בהגשת ה</w:t>
      </w:r>
      <w:r>
        <w:rPr>
          <w:rFonts w:eastAsiaTheme="minorEastAsia"/>
          <w:sz w:val="28"/>
          <w:szCs w:val="28"/>
          <w:rtl/>
          <w:lang w:eastAsia="en-US"/>
        </w:rPr>
        <w:t xml:space="preserve">מסמכים ומודה לרשם העמותות על הטיפול המהיר (ראה נספח ג'3 לכתב תגובתם של המשיבים לעתירה). </w:t>
      </w:r>
      <w:r>
        <w:rPr>
          <w:rFonts w:eastAsiaTheme="minorEastAsia"/>
          <w:sz w:val="28"/>
          <w:szCs w:val="28"/>
          <w:rtl/>
          <w:lang w:eastAsia="en-US"/>
        </w:rPr>
        <w:lastRenderedPageBreak/>
        <w:t>ניתן לראות כי המסמך האחרון הנדרש לשם קבלת אישור ניהול תקין הוגש רק ב- 16.11.04 (נספח ג'6 לכתב תגובתם של המשיבים לעתירה). אי צירוף מסמכים אלה לעתירה מהווה חוסר תום לב מט</w:t>
      </w:r>
      <w:r>
        <w:rPr>
          <w:rFonts w:eastAsiaTheme="minorEastAsia"/>
          <w:sz w:val="28"/>
          <w:szCs w:val="28"/>
          <w:rtl/>
          <w:lang w:eastAsia="en-US"/>
        </w:rPr>
        <w:t xml:space="preserve">עם העותרת, מכיוון שמדובר במסמכים השופכים אור על מחדליה של העותרת בהגשת המסמכים הדרושים בזמן. די בכך כדי שהעתירה תדחה. </w:t>
      </w:r>
    </w:p>
    <w:p w14:paraId="1A539ED3" w14:textId="77777777" w:rsidR="00000000" w:rsidRDefault="002F6856">
      <w:pPr>
        <w:snapToGrid/>
        <w:spacing w:line="360" w:lineRule="auto"/>
        <w:jc w:val="both"/>
        <w:rPr>
          <w:rFonts w:eastAsiaTheme="minorEastAsia" w:cs="David"/>
          <w:sz w:val="28"/>
          <w:szCs w:val="28"/>
          <w:rtl/>
          <w:lang w:eastAsia="en-US"/>
        </w:rPr>
      </w:pPr>
      <w:r>
        <w:rPr>
          <w:rFonts w:eastAsiaTheme="minorEastAsia"/>
          <w:sz w:val="28"/>
          <w:szCs w:val="28"/>
          <w:rtl/>
          <w:lang w:eastAsia="en-US"/>
        </w:rPr>
        <w:t> </w:t>
      </w:r>
    </w:p>
    <w:p w14:paraId="1500B6A2" w14:textId="77777777" w:rsidR="00000000" w:rsidRDefault="002F6856">
      <w:pPr>
        <w:snapToGrid/>
        <w:spacing w:line="360" w:lineRule="auto"/>
        <w:ind w:left="720"/>
        <w:jc w:val="both"/>
        <w:rPr>
          <w:rFonts w:eastAsiaTheme="minorEastAsia" w:cs="David"/>
          <w:sz w:val="28"/>
          <w:szCs w:val="28"/>
          <w:rtl/>
          <w:lang w:eastAsia="en-US"/>
        </w:rPr>
      </w:pPr>
      <w:r>
        <w:rPr>
          <w:rFonts w:eastAsiaTheme="minorEastAsia"/>
          <w:sz w:val="28"/>
          <w:szCs w:val="28"/>
          <w:rtl/>
          <w:lang w:eastAsia="en-US"/>
        </w:rPr>
        <w:t xml:space="preserve">על כן, נראה כי רשם העמותות פעל במהירות וביעילות במקרה זה ואין לעותרת אלא להלין על עצמה על שהשתהתה בהגשת המסמכים הדרושים לשם קבלת אישור </w:t>
      </w:r>
      <w:r>
        <w:rPr>
          <w:rFonts w:eastAsiaTheme="minorEastAsia"/>
          <w:sz w:val="28"/>
          <w:szCs w:val="28"/>
          <w:rtl/>
          <w:lang w:eastAsia="en-US"/>
        </w:rPr>
        <w:t>הניהול התקין. בנסיבות אלו, לא נראה כי נפל פגם כלשהו בהחלטת רשם העמותות להעניק לעותרת את אישור הניהול התקין רק ביום 17.11.04. כן אין כל סיבה להחיל את האישור רטרואקטיבית לתחילת שנת 2004 מאחר והעותרת לא עמדה בתנאים הדרושים לקבלת אישור ניהול תקין במשך שנת 2004</w:t>
      </w:r>
      <w:r>
        <w:rPr>
          <w:rFonts w:eastAsiaTheme="minorEastAsia"/>
          <w:sz w:val="28"/>
          <w:szCs w:val="28"/>
          <w:rtl/>
          <w:lang w:eastAsia="en-US"/>
        </w:rPr>
        <w:t xml:space="preserve"> עד ליום 16.11.04. משעמדה העותרת בתנאי הסף לקבלת אישור ניהול תקין, ניתן לה האישור באופן מיידי. על כן, יש לדחות את העתירה לעניין בקשת העותרת להחיל רטרואקטיבית את אישור הניהול התקין שניתן לה ביום 17.11.04 לתחילת שנת 2004. </w:t>
      </w:r>
    </w:p>
    <w:p w14:paraId="576B1E3F" w14:textId="77777777" w:rsidR="00000000" w:rsidRDefault="002F6856">
      <w:pPr>
        <w:snapToGrid/>
        <w:spacing w:line="360" w:lineRule="auto"/>
        <w:jc w:val="both"/>
        <w:rPr>
          <w:rFonts w:eastAsiaTheme="minorEastAsia" w:cs="David"/>
          <w:sz w:val="28"/>
          <w:szCs w:val="28"/>
          <w:rtl/>
          <w:lang w:eastAsia="en-US"/>
        </w:rPr>
      </w:pPr>
      <w:r>
        <w:rPr>
          <w:rFonts w:eastAsiaTheme="minorEastAsia"/>
          <w:sz w:val="28"/>
          <w:szCs w:val="28"/>
          <w:rtl/>
          <w:lang w:eastAsia="en-US"/>
        </w:rPr>
        <w:t> </w:t>
      </w:r>
    </w:p>
    <w:p w14:paraId="437435F9" w14:textId="77777777" w:rsidR="00000000" w:rsidRDefault="002F6856">
      <w:pPr>
        <w:snapToGrid/>
        <w:spacing w:line="360" w:lineRule="auto"/>
        <w:ind w:left="720" w:hanging="720"/>
        <w:jc w:val="both"/>
        <w:rPr>
          <w:rFonts w:eastAsiaTheme="minorEastAsia" w:cs="David"/>
          <w:sz w:val="28"/>
          <w:szCs w:val="28"/>
          <w:rtl/>
          <w:lang w:eastAsia="en-US"/>
        </w:rPr>
      </w:pPr>
      <w:r>
        <w:rPr>
          <w:rFonts w:eastAsiaTheme="minorEastAsia"/>
          <w:sz w:val="28"/>
          <w:szCs w:val="28"/>
          <w:rtl/>
          <w:lang w:eastAsia="en-US"/>
        </w:rPr>
        <w:tab/>
        <w:t>כן סבור אני כי יש לדחות את עתירת</w:t>
      </w:r>
      <w:r>
        <w:rPr>
          <w:rFonts w:eastAsiaTheme="minorEastAsia"/>
          <w:sz w:val="28"/>
          <w:szCs w:val="28"/>
          <w:rtl/>
          <w:lang w:eastAsia="en-US"/>
        </w:rPr>
        <w:t>ה של העותרת לעניין בקשתה לחייב את מחלקת הישיבות במשרד החינוך להביא שנית את עניין תקציב התמיכה השנתית של העותרת בפני ועדת התמיכות. ההחלטה שלא לאשר את בקשת התמיכה של העותרת נמסרה לעותרת ביום 13.7.04 על ידי המשיב 3 (ראה נספח ד' לתגובת המשיבים). העותרת לא ערער</w:t>
      </w:r>
      <w:r>
        <w:rPr>
          <w:rFonts w:eastAsiaTheme="minorEastAsia"/>
          <w:sz w:val="28"/>
          <w:szCs w:val="28"/>
          <w:rtl/>
          <w:lang w:eastAsia="en-US"/>
        </w:rPr>
        <w:t>ה על החלטה זו ואף לא נקטה בצעדים לקידום ענייניה. כאמור, רק ביום 16.11.04 סיימה העותרת להגיש את המסמכים הדרושים לרשם העמותות לשם קבלת אישור הניהול התקין, הדרוש לשם הגשת בקשה לקבלת תמיכה. כלומר, העותרת לא פעלה ביעילות ובזריזות לשם עשיית מעשה כלשהו באשר להחלט</w:t>
      </w:r>
      <w:r>
        <w:rPr>
          <w:rFonts w:eastAsiaTheme="minorEastAsia"/>
          <w:sz w:val="28"/>
          <w:szCs w:val="28"/>
          <w:rtl/>
          <w:lang w:eastAsia="en-US"/>
        </w:rPr>
        <w:t xml:space="preserve">ה הדוחה את בקשת התמיכה שהגישה ורק ביום 26.6.05 פנתה לרשם העמותות בבקשה כי זה יתן לה אישור רטרואקטיבי בדבר ניהול תקין לשנת 2004 ומשסורבה בקשתה זו העותרת אף לא עתרה כנגד ההחלטות. </w:t>
      </w:r>
    </w:p>
    <w:p w14:paraId="5C475830" w14:textId="77777777" w:rsidR="00000000" w:rsidRDefault="002F6856">
      <w:pPr>
        <w:snapToGrid/>
        <w:spacing w:line="360" w:lineRule="auto"/>
        <w:jc w:val="both"/>
        <w:rPr>
          <w:rFonts w:eastAsiaTheme="minorEastAsia" w:cs="David"/>
          <w:sz w:val="28"/>
          <w:szCs w:val="28"/>
          <w:rtl/>
          <w:lang w:eastAsia="en-US"/>
        </w:rPr>
      </w:pPr>
      <w:r>
        <w:rPr>
          <w:rFonts w:eastAsiaTheme="minorEastAsia"/>
          <w:sz w:val="28"/>
          <w:szCs w:val="28"/>
          <w:rtl/>
          <w:lang w:eastAsia="en-US"/>
        </w:rPr>
        <w:lastRenderedPageBreak/>
        <w:t> </w:t>
      </w:r>
    </w:p>
    <w:p w14:paraId="380F1543" w14:textId="77777777" w:rsidR="00000000" w:rsidRDefault="002F6856">
      <w:pPr>
        <w:snapToGrid/>
        <w:spacing w:line="360" w:lineRule="auto"/>
        <w:ind w:left="720" w:hanging="720"/>
        <w:jc w:val="both"/>
        <w:rPr>
          <w:rFonts w:eastAsiaTheme="minorEastAsia" w:cs="David"/>
          <w:sz w:val="28"/>
          <w:szCs w:val="28"/>
          <w:rtl/>
          <w:lang w:eastAsia="en-US"/>
        </w:rPr>
      </w:pPr>
      <w:r>
        <w:rPr>
          <w:rFonts w:eastAsiaTheme="minorEastAsia"/>
          <w:sz w:val="28"/>
          <w:szCs w:val="28"/>
          <w:rtl/>
          <w:lang w:eastAsia="en-US"/>
        </w:rPr>
        <w:tab/>
        <w:t xml:space="preserve">העותרת אינה יכולה לבקש לשקול שנית את בקשתה לתמיכה זמן כה רב לאחר שנמסרה לה </w:t>
      </w:r>
      <w:r>
        <w:rPr>
          <w:rFonts w:eastAsiaTheme="minorEastAsia"/>
          <w:sz w:val="28"/>
          <w:szCs w:val="28"/>
          <w:rtl/>
          <w:lang w:eastAsia="en-US"/>
        </w:rPr>
        <w:t xml:space="preserve">ההחלטה ובפרט כאשר השיהוי נגרם בשל התנהגותה בלבד ולא בשל מחדל של רשם העמותות. התנהגותה של העותרת נגועה בשיהוי ובחוסר ניקיון כפיים, מאחר והעותרת לא הציגה את כל המסמכים הנוגעים בדבר והמעידים על השיהוי בהתנהגותה, לביהמ"ש במסגרת העתירה. </w:t>
      </w:r>
    </w:p>
    <w:p w14:paraId="35AF6D6D" w14:textId="77777777" w:rsidR="00000000" w:rsidRDefault="002F6856">
      <w:pPr>
        <w:snapToGrid/>
        <w:spacing w:line="360" w:lineRule="auto"/>
        <w:jc w:val="both"/>
        <w:rPr>
          <w:rFonts w:eastAsiaTheme="minorEastAsia" w:cs="David"/>
          <w:sz w:val="28"/>
          <w:szCs w:val="28"/>
          <w:rtl/>
          <w:lang w:eastAsia="en-US"/>
        </w:rPr>
      </w:pPr>
      <w:r>
        <w:rPr>
          <w:rFonts w:eastAsiaTheme="minorEastAsia"/>
          <w:sz w:val="28"/>
          <w:szCs w:val="28"/>
          <w:rtl/>
          <w:lang w:eastAsia="en-US"/>
        </w:rPr>
        <w:t> </w:t>
      </w:r>
    </w:p>
    <w:p w14:paraId="2605D062" w14:textId="77777777" w:rsidR="00000000" w:rsidRDefault="002F6856">
      <w:pPr>
        <w:snapToGrid/>
        <w:spacing w:line="360" w:lineRule="auto"/>
        <w:ind w:left="720" w:hanging="720"/>
        <w:jc w:val="both"/>
        <w:rPr>
          <w:rFonts w:eastAsiaTheme="minorEastAsia" w:cs="David"/>
          <w:sz w:val="28"/>
          <w:szCs w:val="28"/>
          <w:rtl/>
          <w:lang w:eastAsia="en-US"/>
        </w:rPr>
      </w:pPr>
      <w:r>
        <w:rPr>
          <w:rFonts w:eastAsiaTheme="minorEastAsia"/>
          <w:sz w:val="28"/>
          <w:szCs w:val="28"/>
          <w:rtl/>
          <w:lang w:eastAsia="en-US"/>
        </w:rPr>
        <w:tab/>
        <w:t>עצם העובדה שהעותרת ל</w:t>
      </w:r>
      <w:r>
        <w:rPr>
          <w:rFonts w:eastAsiaTheme="minorEastAsia"/>
          <w:sz w:val="28"/>
          <w:szCs w:val="28"/>
          <w:rtl/>
          <w:lang w:eastAsia="en-US"/>
        </w:rPr>
        <w:t>א הגישה לרשם העמותות את מסמכי הבקרה והביקורת הדרושים לשם קבלת אישור ניהול תקין ועשתה זאת רק לקראת סוף שנת 2004 מעידה על כך כי העותרת אינה מנהלת את העמותה "ניהול תקין", כפי שכיוון לו המחוקק. כוונת המחוקק בחוק העמותות וכן בהחלטת הממשלה מיום 15.10.98, לפיה גו</w:t>
      </w:r>
      <w:r>
        <w:rPr>
          <w:rFonts w:eastAsiaTheme="minorEastAsia"/>
          <w:sz w:val="28"/>
          <w:szCs w:val="28"/>
          <w:rtl/>
          <w:lang w:eastAsia="en-US"/>
        </w:rPr>
        <w:t>פים הפונים בבקשה לתמיכה ממשרד ממשלתי צריכים להציג אישור ניהול תקין מרשם העמותות, הייתה כי המסמכים הדרושים לבקרה ולשקיפות יוגשו בזמן והמדובר בדרישה מהותית לעניין תקינות פעולתה של העמותה. על כן, לא ניתן ליתן אישור רטרואקטיבי לשנת 2004 כאשר המסמכים הדרושים וה</w:t>
      </w:r>
      <w:r>
        <w:rPr>
          <w:rFonts w:eastAsiaTheme="minorEastAsia"/>
          <w:sz w:val="28"/>
          <w:szCs w:val="28"/>
          <w:rtl/>
          <w:lang w:eastAsia="en-US"/>
        </w:rPr>
        <w:t xml:space="preserve">מעידים על תקינות פעולתה של העמותה הוגשו רק ב- 17.11.04, לקראת סוף השנה והעותרת לא סיפקה הסבר של ממש למחדליה בהגשת המסמכים במועד. </w:t>
      </w:r>
    </w:p>
    <w:p w14:paraId="4817F4A7" w14:textId="77777777" w:rsidR="00000000" w:rsidRDefault="002F6856">
      <w:pPr>
        <w:snapToGrid/>
        <w:spacing w:line="360" w:lineRule="auto"/>
        <w:jc w:val="both"/>
        <w:rPr>
          <w:rFonts w:eastAsiaTheme="minorEastAsia" w:cs="David"/>
          <w:sz w:val="28"/>
          <w:szCs w:val="28"/>
          <w:rtl/>
          <w:lang w:eastAsia="en-US"/>
        </w:rPr>
      </w:pPr>
      <w:r>
        <w:rPr>
          <w:rFonts w:eastAsiaTheme="minorEastAsia"/>
          <w:sz w:val="28"/>
          <w:szCs w:val="28"/>
          <w:rtl/>
          <w:lang w:eastAsia="en-US"/>
        </w:rPr>
        <w:t> </w:t>
      </w:r>
    </w:p>
    <w:p w14:paraId="5A117538" w14:textId="77777777" w:rsidR="00000000" w:rsidRDefault="002F6856">
      <w:pPr>
        <w:snapToGrid/>
        <w:spacing w:line="360" w:lineRule="auto"/>
        <w:ind w:left="720" w:hanging="720"/>
        <w:jc w:val="both"/>
        <w:rPr>
          <w:rFonts w:eastAsiaTheme="minorEastAsia" w:cs="David"/>
          <w:sz w:val="28"/>
          <w:szCs w:val="28"/>
          <w:rtl/>
          <w:lang w:eastAsia="en-US"/>
        </w:rPr>
      </w:pPr>
      <w:r>
        <w:rPr>
          <w:rFonts w:eastAsiaTheme="minorEastAsia"/>
          <w:sz w:val="28"/>
          <w:szCs w:val="28"/>
          <w:rtl/>
          <w:lang w:eastAsia="en-US"/>
        </w:rPr>
        <w:tab/>
        <w:t>אישור הניהול התקין שניתן לעמותה על ידי רשם העמותות מעיד על תקינות פעולתה של העמותה, לאחר שנבדקו על ידי רשם העמותות קיומם של</w:t>
      </w:r>
      <w:r>
        <w:rPr>
          <w:rFonts w:eastAsiaTheme="minorEastAsia"/>
          <w:sz w:val="28"/>
          <w:szCs w:val="28"/>
          <w:rtl/>
          <w:lang w:eastAsia="en-US"/>
        </w:rPr>
        <w:t xml:space="preserve"> תנאים הקבועים בחוק, לשם מתן האישור. במקרה בו לא הוגשו המסמכים הדרושים בזמן לרשם העמותות ועקב כך ניתן אישור הניהול התקין באיחור, לא זכאית העמותה לאישור בקשת התמיכה, אלא אם המדובר בעיכוב שנגרם שלא באשמתה. ראה לעניין זה את החלטת הממשלה מיום 15.10.98 בעניין ת</w:t>
      </w:r>
      <w:r>
        <w:rPr>
          <w:rFonts w:eastAsiaTheme="minorEastAsia"/>
          <w:sz w:val="28"/>
          <w:szCs w:val="28"/>
          <w:rtl/>
          <w:lang w:eastAsia="en-US"/>
        </w:rPr>
        <w:t>מיכות מתקציב המדינה ועזבונות לטובת המדינה, לפיה אישור רשם העמותות נועד על מנת לבחון:</w:t>
      </w:r>
    </w:p>
    <w:p w14:paraId="6ACADB47" w14:textId="77777777" w:rsidR="00000000" w:rsidRDefault="002F6856">
      <w:pPr>
        <w:snapToGrid/>
        <w:spacing w:line="360" w:lineRule="auto"/>
        <w:ind w:left="720" w:hanging="720"/>
        <w:jc w:val="both"/>
        <w:rPr>
          <w:rFonts w:eastAsiaTheme="minorEastAsia" w:cs="David"/>
          <w:sz w:val="28"/>
          <w:szCs w:val="28"/>
          <w:rtl/>
          <w:lang w:eastAsia="en-US"/>
        </w:rPr>
      </w:pPr>
      <w:r>
        <w:rPr>
          <w:rFonts w:eastAsiaTheme="minorEastAsia"/>
          <w:sz w:val="28"/>
          <w:szCs w:val="28"/>
          <w:rtl/>
          <w:lang w:eastAsia="en-US"/>
        </w:rPr>
        <w:t> </w:t>
      </w:r>
    </w:p>
    <w:p w14:paraId="034B2F41" w14:textId="77777777" w:rsidR="00000000" w:rsidRDefault="002F6856">
      <w:pPr>
        <w:snapToGrid/>
        <w:spacing w:line="360" w:lineRule="auto"/>
        <w:ind w:left="720" w:right="567" w:firstLine="720"/>
        <w:jc w:val="both"/>
        <w:rPr>
          <w:rFonts w:eastAsiaTheme="minorEastAsia" w:cs="David"/>
          <w:b/>
          <w:bCs/>
          <w:sz w:val="28"/>
          <w:szCs w:val="28"/>
          <w:rtl/>
          <w:lang w:eastAsia="en-US"/>
        </w:rPr>
      </w:pPr>
      <w:r>
        <w:rPr>
          <w:rFonts w:eastAsiaTheme="minorEastAsia"/>
          <w:sz w:val="28"/>
          <w:szCs w:val="28"/>
          <w:rtl/>
          <w:lang w:eastAsia="en-US"/>
        </w:rPr>
        <w:t>"</w:t>
      </w:r>
      <w:r>
        <w:rPr>
          <w:rFonts w:eastAsiaTheme="minorEastAsia"/>
          <w:b/>
          <w:bCs/>
          <w:sz w:val="28"/>
          <w:szCs w:val="28"/>
          <w:rtl/>
          <w:lang w:eastAsia="en-US"/>
        </w:rPr>
        <w:t>א. אם העמותה עומדת בכל דרישות החוק.</w:t>
      </w:r>
    </w:p>
    <w:p w14:paraId="766078D9" w14:textId="77777777" w:rsidR="00000000" w:rsidRDefault="002F6856">
      <w:pPr>
        <w:snapToGrid/>
        <w:spacing w:line="360" w:lineRule="auto"/>
        <w:ind w:left="1440" w:right="567"/>
        <w:jc w:val="both"/>
        <w:rPr>
          <w:rFonts w:eastAsiaTheme="minorEastAsia" w:cs="David"/>
          <w:sz w:val="28"/>
          <w:szCs w:val="28"/>
          <w:rtl/>
          <w:lang w:eastAsia="en-US"/>
        </w:rPr>
      </w:pPr>
      <w:r>
        <w:rPr>
          <w:rFonts w:eastAsiaTheme="minorEastAsia"/>
          <w:b/>
          <w:bCs/>
          <w:sz w:val="28"/>
          <w:szCs w:val="28"/>
          <w:rtl/>
          <w:lang w:eastAsia="en-US"/>
        </w:rPr>
        <w:lastRenderedPageBreak/>
        <w:t xml:space="preserve">ב. אם נכסי העמותה והכנסותיה משמשים אך ורק את מטרות העמותה". </w:t>
      </w:r>
    </w:p>
    <w:p w14:paraId="6E090B6D" w14:textId="77777777" w:rsidR="00000000" w:rsidRDefault="002F6856">
      <w:pPr>
        <w:snapToGrid/>
        <w:spacing w:line="360" w:lineRule="auto"/>
        <w:jc w:val="both"/>
        <w:rPr>
          <w:rFonts w:eastAsiaTheme="minorEastAsia" w:cs="David"/>
          <w:sz w:val="28"/>
          <w:szCs w:val="28"/>
          <w:rtl/>
          <w:lang w:eastAsia="en-US"/>
        </w:rPr>
      </w:pPr>
      <w:r>
        <w:rPr>
          <w:rFonts w:eastAsiaTheme="minorEastAsia"/>
          <w:sz w:val="28"/>
          <w:szCs w:val="28"/>
          <w:rtl/>
          <w:lang w:eastAsia="en-US"/>
        </w:rPr>
        <w:t> </w:t>
      </w:r>
    </w:p>
    <w:p w14:paraId="6C084969" w14:textId="77777777" w:rsidR="00000000" w:rsidRDefault="002F6856">
      <w:pPr>
        <w:snapToGrid/>
        <w:spacing w:line="360" w:lineRule="auto"/>
        <w:jc w:val="both"/>
        <w:rPr>
          <w:rFonts w:eastAsiaTheme="minorEastAsia" w:cs="David"/>
          <w:sz w:val="28"/>
          <w:szCs w:val="28"/>
          <w:rtl/>
          <w:lang w:eastAsia="en-US"/>
        </w:rPr>
      </w:pPr>
      <w:r>
        <w:rPr>
          <w:rFonts w:eastAsiaTheme="minorEastAsia"/>
          <w:sz w:val="28"/>
          <w:szCs w:val="28"/>
          <w:rtl/>
          <w:lang w:eastAsia="en-US"/>
        </w:rPr>
        <w:t> </w:t>
      </w:r>
    </w:p>
    <w:p w14:paraId="14F521E1" w14:textId="77777777" w:rsidR="00000000" w:rsidRDefault="002F6856">
      <w:pPr>
        <w:snapToGrid/>
        <w:spacing w:line="360" w:lineRule="auto"/>
        <w:ind w:left="720"/>
        <w:jc w:val="both"/>
        <w:rPr>
          <w:rFonts w:eastAsiaTheme="minorEastAsia" w:cs="David"/>
          <w:sz w:val="28"/>
          <w:szCs w:val="28"/>
          <w:rtl/>
          <w:lang w:eastAsia="en-US"/>
        </w:rPr>
      </w:pPr>
      <w:r>
        <w:rPr>
          <w:rFonts w:eastAsiaTheme="minorEastAsia"/>
          <w:sz w:val="28"/>
          <w:szCs w:val="28"/>
          <w:rtl/>
          <w:lang w:eastAsia="en-US"/>
        </w:rPr>
        <w:t>כן ראה:</w:t>
      </w:r>
    </w:p>
    <w:p w14:paraId="1B217B66" w14:textId="77777777" w:rsidR="00000000" w:rsidRDefault="002F6856">
      <w:pPr>
        <w:snapToGrid/>
        <w:spacing w:line="360" w:lineRule="auto"/>
        <w:ind w:left="720" w:hanging="720"/>
        <w:jc w:val="both"/>
        <w:rPr>
          <w:rFonts w:eastAsiaTheme="minorEastAsia" w:cs="David"/>
          <w:b/>
          <w:bCs/>
          <w:sz w:val="28"/>
          <w:szCs w:val="28"/>
          <w:rtl/>
          <w:lang w:eastAsia="en-US"/>
        </w:rPr>
      </w:pPr>
      <w:r>
        <w:rPr>
          <w:rFonts w:eastAsiaTheme="minorEastAsia"/>
          <w:sz w:val="28"/>
          <w:szCs w:val="28"/>
          <w:rtl/>
          <w:lang w:eastAsia="en-US"/>
        </w:rPr>
        <w:tab/>
      </w:r>
      <w:r>
        <w:rPr>
          <w:rFonts w:eastAsiaTheme="minorEastAsia"/>
          <w:b/>
          <w:bCs/>
          <w:sz w:val="28"/>
          <w:szCs w:val="28"/>
          <w:rtl/>
          <w:lang w:eastAsia="en-US"/>
        </w:rPr>
        <w:t xml:space="preserve">בג"צ 2848/03 </w:t>
      </w:r>
      <w:r>
        <w:rPr>
          <w:rFonts w:eastAsiaTheme="minorEastAsia"/>
          <w:b/>
          <w:bCs/>
          <w:sz w:val="28"/>
          <w:szCs w:val="28"/>
          <w:u w:val="single"/>
          <w:rtl/>
          <w:lang w:eastAsia="en-US"/>
        </w:rPr>
        <w:t xml:space="preserve">עמותת רשת מעונות יום "נאות מרגלית" נ' הועדה </w:t>
      </w:r>
      <w:r>
        <w:rPr>
          <w:rFonts w:eastAsiaTheme="minorEastAsia"/>
          <w:b/>
          <w:bCs/>
          <w:sz w:val="28"/>
          <w:szCs w:val="28"/>
          <w:u w:val="single"/>
          <w:rtl/>
          <w:lang w:eastAsia="en-US"/>
        </w:rPr>
        <w:t>הציבורית לקביעת יעודם של עז' לטובת המדינה ואח'</w:t>
      </w:r>
      <w:r>
        <w:rPr>
          <w:rFonts w:eastAsiaTheme="minorEastAsia"/>
          <w:b/>
          <w:bCs/>
          <w:sz w:val="28"/>
          <w:szCs w:val="28"/>
          <w:rtl/>
          <w:lang w:eastAsia="en-US"/>
        </w:rPr>
        <w:t>, תק-על 2003(4),629;</w:t>
      </w:r>
    </w:p>
    <w:p w14:paraId="6E87B68B" w14:textId="77777777" w:rsidR="00000000" w:rsidRDefault="002F6856">
      <w:pPr>
        <w:snapToGrid/>
        <w:spacing w:line="360" w:lineRule="auto"/>
        <w:ind w:left="720" w:hanging="720"/>
        <w:jc w:val="both"/>
        <w:rPr>
          <w:rFonts w:eastAsiaTheme="minorEastAsia" w:cs="David"/>
          <w:b/>
          <w:bCs/>
          <w:sz w:val="28"/>
          <w:szCs w:val="28"/>
          <w:rtl/>
          <w:lang w:eastAsia="en-US"/>
        </w:rPr>
      </w:pPr>
      <w:r>
        <w:rPr>
          <w:rFonts w:eastAsiaTheme="minorEastAsia"/>
          <w:b/>
          <w:bCs/>
          <w:sz w:val="28"/>
          <w:szCs w:val="28"/>
          <w:rtl/>
          <w:lang w:eastAsia="en-US"/>
        </w:rPr>
        <w:tab/>
        <w:t xml:space="preserve">בג"צ 4558/04 </w:t>
      </w:r>
      <w:r>
        <w:rPr>
          <w:rFonts w:eastAsiaTheme="minorEastAsia"/>
          <w:b/>
          <w:bCs/>
          <w:sz w:val="28"/>
          <w:szCs w:val="28"/>
          <w:u w:val="single"/>
          <w:rtl/>
          <w:lang w:eastAsia="en-US"/>
        </w:rPr>
        <w:t>עמותת בצדק-מרכז אמריקאי ישראלי לקידום צדק בישראל נ' רשם העמותות, במשרד המשפטים ואח'</w:t>
      </w:r>
      <w:r>
        <w:rPr>
          <w:rFonts w:eastAsiaTheme="minorEastAsia"/>
          <w:b/>
          <w:bCs/>
          <w:sz w:val="28"/>
          <w:szCs w:val="28"/>
          <w:rtl/>
          <w:lang w:eastAsia="en-US"/>
        </w:rPr>
        <w:t xml:space="preserve">, תק-על 2004(3), 2175. </w:t>
      </w:r>
    </w:p>
    <w:p w14:paraId="6772DF11" w14:textId="77777777" w:rsidR="00000000" w:rsidRDefault="002F6856">
      <w:pPr>
        <w:snapToGrid/>
        <w:spacing w:line="360" w:lineRule="auto"/>
        <w:jc w:val="both"/>
        <w:rPr>
          <w:rFonts w:eastAsiaTheme="minorEastAsia" w:cs="David"/>
          <w:sz w:val="28"/>
          <w:szCs w:val="28"/>
          <w:rtl/>
          <w:lang w:eastAsia="en-US"/>
        </w:rPr>
      </w:pPr>
      <w:r>
        <w:rPr>
          <w:rFonts w:eastAsiaTheme="minorEastAsia"/>
          <w:sz w:val="28"/>
          <w:szCs w:val="28"/>
          <w:rtl/>
          <w:lang w:eastAsia="en-US"/>
        </w:rPr>
        <w:t> </w:t>
      </w:r>
    </w:p>
    <w:p w14:paraId="3CE470A8" w14:textId="77777777" w:rsidR="00000000" w:rsidRDefault="002F6856">
      <w:pPr>
        <w:snapToGrid/>
        <w:spacing w:line="360" w:lineRule="auto"/>
        <w:ind w:left="720" w:hanging="720"/>
        <w:jc w:val="both"/>
        <w:rPr>
          <w:rFonts w:eastAsiaTheme="minorEastAsia" w:cs="David"/>
          <w:sz w:val="28"/>
          <w:szCs w:val="28"/>
          <w:rtl/>
          <w:lang w:eastAsia="en-US"/>
        </w:rPr>
      </w:pPr>
      <w:r>
        <w:rPr>
          <w:rFonts w:eastAsiaTheme="minorEastAsia"/>
          <w:sz w:val="28"/>
          <w:szCs w:val="28"/>
          <w:rtl/>
          <w:lang w:eastAsia="en-US"/>
        </w:rPr>
        <w:tab/>
        <w:t>על כן, סבור אני כי ההחלטה שלא ליתן לעותרת אישור ניהול תקין רטרוא</w:t>
      </w:r>
      <w:r>
        <w:rPr>
          <w:rFonts w:eastAsiaTheme="minorEastAsia"/>
          <w:sz w:val="28"/>
          <w:szCs w:val="28"/>
          <w:rtl/>
          <w:lang w:eastAsia="en-US"/>
        </w:rPr>
        <w:t xml:space="preserve">קטיבי לתחילת שנת 2004 הינה החלטה סבירה שניתנה כדין ואינה נגועה בשיקולים זרים. כן סבור אני כי החלטתו של המשיב 3 שלא להביא שנית את עניינה של העותרת בפני ועדת התמיכות, לאור נסיבות העניין, הינה החלטה ראויה וסבירה ואין להתערב בה. </w:t>
      </w:r>
    </w:p>
    <w:p w14:paraId="22C2C2F0" w14:textId="77777777" w:rsidR="00000000" w:rsidRDefault="002F6856">
      <w:pPr>
        <w:snapToGrid/>
        <w:spacing w:line="360" w:lineRule="auto"/>
        <w:jc w:val="both"/>
        <w:rPr>
          <w:rFonts w:eastAsiaTheme="minorEastAsia" w:cs="David"/>
          <w:sz w:val="28"/>
          <w:szCs w:val="28"/>
          <w:rtl/>
          <w:lang w:eastAsia="en-US"/>
        </w:rPr>
      </w:pPr>
      <w:r>
        <w:rPr>
          <w:rFonts w:eastAsiaTheme="minorEastAsia"/>
          <w:sz w:val="28"/>
          <w:szCs w:val="28"/>
          <w:rtl/>
          <w:lang w:eastAsia="en-US"/>
        </w:rPr>
        <w:t> </w:t>
      </w:r>
    </w:p>
    <w:p w14:paraId="24BD25DD" w14:textId="77777777" w:rsidR="00000000" w:rsidRDefault="002F6856">
      <w:pPr>
        <w:snapToGrid/>
        <w:spacing w:line="360" w:lineRule="auto"/>
        <w:ind w:left="720" w:hanging="720"/>
        <w:jc w:val="both"/>
        <w:rPr>
          <w:rFonts w:eastAsiaTheme="minorEastAsia" w:cs="David"/>
          <w:sz w:val="28"/>
          <w:szCs w:val="28"/>
          <w:rtl/>
          <w:lang w:eastAsia="en-US"/>
        </w:rPr>
      </w:pPr>
      <w:r>
        <w:rPr>
          <w:rFonts w:eastAsiaTheme="minorEastAsia"/>
          <w:sz w:val="28"/>
          <w:szCs w:val="28"/>
          <w:rtl/>
          <w:lang w:eastAsia="en-US"/>
        </w:rPr>
        <w:tab/>
        <w:t>העותרת הינה עמותה שנתמכת מז</w:t>
      </w:r>
      <w:r>
        <w:rPr>
          <w:rFonts w:eastAsiaTheme="minorEastAsia"/>
          <w:sz w:val="28"/>
          <w:szCs w:val="28"/>
          <w:rtl/>
          <w:lang w:eastAsia="en-US"/>
        </w:rPr>
        <w:t>ה מספר שנים ולכן הנהלים מוכרים וידועים לה ודרישות רשם העמותות למתן אישור ניהול תקין אינן זרות לה. כאמור, העותרת לא סיפקה הסבר של ממש למחדליה בהשגת אישור הניהול התקין בזמן ולכן אין המדובר במקרה יוצא דופן שבו קיימת הצדקה עניינית לחרוג מן הנהלים, בפרט לא כאשר</w:t>
      </w:r>
      <w:r>
        <w:rPr>
          <w:rFonts w:eastAsiaTheme="minorEastAsia"/>
          <w:sz w:val="28"/>
          <w:szCs w:val="28"/>
          <w:rtl/>
          <w:lang w:eastAsia="en-US"/>
        </w:rPr>
        <w:t xml:space="preserve"> מדובר בתקציב שנת 2004 אשר כבר חולק והכספים אינם קיימים עוד. </w:t>
      </w:r>
    </w:p>
    <w:p w14:paraId="07625D5D" w14:textId="77777777" w:rsidR="00000000" w:rsidRDefault="002F6856">
      <w:pPr>
        <w:snapToGrid/>
        <w:spacing w:line="360" w:lineRule="auto"/>
        <w:jc w:val="both"/>
        <w:rPr>
          <w:rFonts w:eastAsiaTheme="minorEastAsia" w:cs="David"/>
          <w:sz w:val="28"/>
          <w:szCs w:val="28"/>
          <w:rtl/>
          <w:lang w:eastAsia="en-US"/>
        </w:rPr>
      </w:pPr>
      <w:r>
        <w:rPr>
          <w:rFonts w:eastAsiaTheme="minorEastAsia"/>
          <w:sz w:val="28"/>
          <w:szCs w:val="28"/>
          <w:rtl/>
          <w:lang w:eastAsia="en-US"/>
        </w:rPr>
        <w:t> </w:t>
      </w:r>
    </w:p>
    <w:p w14:paraId="63A47699" w14:textId="77777777" w:rsidR="00000000" w:rsidRDefault="002F6856">
      <w:pPr>
        <w:snapToGrid/>
        <w:spacing w:line="360" w:lineRule="auto"/>
        <w:ind w:left="720" w:hanging="720"/>
        <w:jc w:val="both"/>
        <w:rPr>
          <w:rFonts w:eastAsiaTheme="minorEastAsia" w:cs="David"/>
          <w:sz w:val="28"/>
          <w:szCs w:val="28"/>
          <w:rtl/>
          <w:lang w:eastAsia="en-US"/>
        </w:rPr>
      </w:pPr>
      <w:r>
        <w:rPr>
          <w:rFonts w:eastAsiaTheme="minorEastAsia"/>
          <w:sz w:val="28"/>
          <w:szCs w:val="28"/>
          <w:rtl/>
          <w:lang w:eastAsia="en-US"/>
        </w:rPr>
        <w:tab/>
        <w:t xml:space="preserve">אינני מקבל את טענתה של העותרת כי הייתה סבורה בעת הגשת בקשת התמיכה כי אישור הניהול התקין שהיה תקף רק עד ליום 31.12.03, כפי שצוין בבירור בכתב יד על גבי טופס הבקשה לתמיכה (נספח א' לעתירה), הינו </w:t>
      </w:r>
      <w:r>
        <w:rPr>
          <w:rFonts w:eastAsiaTheme="minorEastAsia"/>
          <w:sz w:val="28"/>
          <w:szCs w:val="28"/>
          <w:rtl/>
          <w:lang w:eastAsia="en-US"/>
        </w:rPr>
        <w:t xml:space="preserve">אישור מספיק לשם אישור בקשת התמיכה. כאמור, העותרת נתמכת מזה שנים רבות ולכן הייתה מודעת לנהלים ולדרישות בדבר אישור ניהול תקין. על כן, אין טענה זו מהווה הסבר סביר למחדליה </w:t>
      </w:r>
      <w:r>
        <w:rPr>
          <w:rFonts w:eastAsiaTheme="minorEastAsia"/>
          <w:sz w:val="28"/>
          <w:szCs w:val="28"/>
          <w:rtl/>
          <w:lang w:eastAsia="en-US"/>
        </w:rPr>
        <w:lastRenderedPageBreak/>
        <w:t xml:space="preserve">בהגשת אישור ניהול תקין תקף בזמן שבו היא נדרשה לעשות זאת לשם הגשת בקשת התמיכה. </w:t>
      </w:r>
    </w:p>
    <w:p w14:paraId="3766C62A" w14:textId="77777777" w:rsidR="00000000" w:rsidRDefault="002F6856">
      <w:pPr>
        <w:snapToGrid/>
        <w:spacing w:line="360" w:lineRule="auto"/>
        <w:jc w:val="both"/>
        <w:rPr>
          <w:rFonts w:eastAsiaTheme="minorEastAsia" w:cs="David"/>
          <w:sz w:val="28"/>
          <w:szCs w:val="28"/>
          <w:rtl/>
          <w:lang w:eastAsia="en-US"/>
        </w:rPr>
      </w:pPr>
      <w:r>
        <w:rPr>
          <w:rFonts w:eastAsiaTheme="minorEastAsia"/>
          <w:sz w:val="28"/>
          <w:szCs w:val="28"/>
          <w:rtl/>
          <w:lang w:eastAsia="en-US"/>
        </w:rPr>
        <w:t xml:space="preserve"> </w:t>
      </w:r>
    </w:p>
    <w:p w14:paraId="7CCD1963" w14:textId="77777777" w:rsidR="00000000" w:rsidRDefault="002F6856">
      <w:pPr>
        <w:snapToGrid/>
        <w:spacing w:line="360" w:lineRule="auto"/>
        <w:ind w:right="540"/>
        <w:jc w:val="both"/>
        <w:rPr>
          <w:rFonts w:eastAsiaTheme="minorEastAsia" w:cs="David"/>
          <w:b/>
          <w:bCs/>
          <w:sz w:val="28"/>
          <w:szCs w:val="28"/>
          <w:u w:val="single"/>
          <w:rtl/>
          <w:lang w:eastAsia="en-US"/>
        </w:rPr>
      </w:pPr>
      <w:r>
        <w:rPr>
          <w:rFonts w:eastAsiaTheme="minorEastAsia"/>
          <w:sz w:val="28"/>
          <w:szCs w:val="28"/>
          <w:rtl/>
          <w:lang w:eastAsia="en-US"/>
        </w:rPr>
        <w:t>4.</w:t>
      </w:r>
      <w:r>
        <w:rPr>
          <w:rFonts w:eastAsiaTheme="minorEastAsia"/>
          <w:sz w:val="28"/>
          <w:szCs w:val="28"/>
          <w:rtl/>
          <w:lang w:eastAsia="en-US"/>
        </w:rPr>
        <w:tab/>
      </w:r>
      <w:r>
        <w:rPr>
          <w:rFonts w:eastAsiaTheme="minorEastAsia"/>
          <w:b/>
          <w:bCs/>
          <w:sz w:val="28"/>
          <w:szCs w:val="28"/>
          <w:u w:val="single"/>
          <w:rtl/>
          <w:lang w:eastAsia="en-US"/>
        </w:rPr>
        <w:t>סיכו</w:t>
      </w:r>
      <w:r>
        <w:rPr>
          <w:rFonts w:eastAsiaTheme="minorEastAsia"/>
          <w:b/>
          <w:bCs/>
          <w:sz w:val="28"/>
          <w:szCs w:val="28"/>
          <w:u w:val="single"/>
          <w:rtl/>
          <w:lang w:eastAsia="en-US"/>
        </w:rPr>
        <w:t>ם:</w:t>
      </w:r>
    </w:p>
    <w:p w14:paraId="6353ECE4" w14:textId="77777777" w:rsidR="00000000" w:rsidRDefault="002F6856">
      <w:pPr>
        <w:snapToGrid/>
        <w:spacing w:line="360" w:lineRule="auto"/>
        <w:ind w:right="540"/>
        <w:jc w:val="both"/>
        <w:rPr>
          <w:rFonts w:eastAsiaTheme="minorEastAsia" w:cs="David"/>
          <w:b/>
          <w:bCs/>
          <w:sz w:val="28"/>
          <w:szCs w:val="28"/>
          <w:u w:val="single"/>
          <w:rtl/>
          <w:lang w:eastAsia="en-US"/>
        </w:rPr>
      </w:pPr>
      <w:r>
        <w:rPr>
          <w:rFonts w:eastAsiaTheme="minorEastAsia"/>
          <w:b/>
          <w:bCs/>
          <w:sz w:val="28"/>
          <w:szCs w:val="28"/>
          <w:u w:val="single"/>
          <w:rtl/>
          <w:lang w:eastAsia="en-US"/>
        </w:rPr>
        <w:t> </w:t>
      </w:r>
    </w:p>
    <w:p w14:paraId="25B3BF78" w14:textId="77777777" w:rsidR="00000000" w:rsidRDefault="002F6856">
      <w:pPr>
        <w:snapToGrid/>
        <w:spacing w:line="360" w:lineRule="auto"/>
        <w:ind w:left="720" w:hanging="720"/>
        <w:jc w:val="both"/>
        <w:rPr>
          <w:rFonts w:eastAsiaTheme="minorEastAsia" w:cs="David"/>
          <w:sz w:val="28"/>
          <w:szCs w:val="28"/>
          <w:rtl/>
          <w:lang w:eastAsia="en-US"/>
        </w:rPr>
      </w:pPr>
      <w:r>
        <w:rPr>
          <w:rFonts w:eastAsiaTheme="minorEastAsia"/>
          <w:sz w:val="28"/>
          <w:szCs w:val="28"/>
          <w:rtl/>
          <w:lang w:eastAsia="en-US"/>
        </w:rPr>
        <w:tab/>
        <w:t xml:space="preserve">בסיכומו של דבר, לאור כל האמור לעיל, דין העתירה להדחות הן מטעמים של דחיה על הסף והן לגופו של עניין.  אני מורה על דחית העתירה הן כנגד החלטת רשם העמותות שלא ליתן לעותרת אישור מנהל תקין רטרואקטיבי לתחילת שנת 2004 והן כנגד החלטת משרד החינוך אשר סירב כדין </w:t>
      </w:r>
      <w:r>
        <w:rPr>
          <w:rFonts w:eastAsiaTheme="minorEastAsia"/>
          <w:sz w:val="28"/>
          <w:szCs w:val="28"/>
          <w:rtl/>
          <w:lang w:eastAsia="en-US"/>
        </w:rPr>
        <w:t xml:space="preserve">להביא שנית את עניין תקציב התמיכה השנתית של העותרת בפני ועדת התמיכות, לאחר שלא עמדה בתנאים הדרושים לשם קבלת תקציב תמיכה שנתית לשנת 2004. </w:t>
      </w:r>
    </w:p>
    <w:p w14:paraId="7BC533DC" w14:textId="77777777" w:rsidR="00000000" w:rsidRDefault="002F6856">
      <w:pPr>
        <w:snapToGrid/>
        <w:spacing w:line="360" w:lineRule="auto"/>
        <w:jc w:val="both"/>
        <w:rPr>
          <w:rFonts w:eastAsiaTheme="minorEastAsia" w:cs="David"/>
          <w:sz w:val="28"/>
          <w:szCs w:val="28"/>
          <w:rtl/>
        </w:rPr>
      </w:pPr>
      <w:r>
        <w:rPr>
          <w:rFonts w:eastAsiaTheme="minorEastAsia"/>
          <w:sz w:val="28"/>
          <w:szCs w:val="28"/>
          <w:rtl/>
        </w:rPr>
        <w:t> </w:t>
      </w:r>
    </w:p>
    <w:p w14:paraId="576373E2" w14:textId="77777777" w:rsidR="00000000" w:rsidRDefault="002F6856">
      <w:pPr>
        <w:snapToGrid/>
        <w:spacing w:line="360" w:lineRule="auto"/>
        <w:ind w:left="720" w:hanging="720"/>
        <w:jc w:val="both"/>
        <w:rPr>
          <w:rFonts w:eastAsiaTheme="minorEastAsia" w:cs="David"/>
          <w:sz w:val="28"/>
          <w:szCs w:val="28"/>
          <w:rtl/>
        </w:rPr>
      </w:pPr>
      <w:r>
        <w:rPr>
          <w:rFonts w:eastAsiaTheme="minorEastAsia"/>
          <w:sz w:val="28"/>
          <w:szCs w:val="28"/>
          <w:rtl/>
        </w:rPr>
        <w:tab/>
        <w:t>העותרת תשלם למשיבים הוצאות משפט בסך 10,000 ₪. סכום זה יישא הפרשי הצמדה וריבית כחוק מהיום ועד למועד התשלום המלא בפוע</w:t>
      </w:r>
      <w:r>
        <w:rPr>
          <w:rFonts w:eastAsiaTheme="minorEastAsia"/>
          <w:sz w:val="28"/>
          <w:szCs w:val="28"/>
          <w:rtl/>
        </w:rPr>
        <w:t xml:space="preserve">ל.  </w:t>
      </w:r>
    </w:p>
    <w:p w14:paraId="1D6193C6" w14:textId="77777777" w:rsidR="00000000" w:rsidRDefault="002F6856">
      <w:pPr>
        <w:snapToGrid/>
        <w:spacing w:line="360" w:lineRule="auto"/>
        <w:ind w:left="720" w:hanging="720"/>
        <w:jc w:val="both"/>
        <w:rPr>
          <w:rFonts w:eastAsiaTheme="minorEastAsia" w:cs="David"/>
          <w:sz w:val="28"/>
          <w:szCs w:val="28"/>
          <w:rtl/>
        </w:rPr>
      </w:pPr>
      <w:r>
        <w:rPr>
          <w:rFonts w:eastAsiaTheme="minorEastAsia"/>
          <w:sz w:val="28"/>
          <w:szCs w:val="28"/>
          <w:rtl/>
        </w:rPr>
        <w:t> </w:t>
      </w:r>
    </w:p>
    <w:p w14:paraId="436ED145" w14:textId="77777777" w:rsidR="00000000" w:rsidRDefault="002F6856">
      <w:pPr>
        <w:snapToGrid/>
        <w:spacing w:line="360" w:lineRule="auto"/>
        <w:jc w:val="both"/>
        <w:rPr>
          <w:rFonts w:eastAsiaTheme="minorEastAsia" w:cs="David"/>
          <w:b/>
          <w:bCs/>
          <w:color w:val="000000"/>
          <w:sz w:val="28"/>
          <w:szCs w:val="28"/>
          <w:u w:val="single"/>
          <w:rtl/>
        </w:rPr>
      </w:pPr>
      <w:r>
        <w:rPr>
          <w:rFonts w:eastAsiaTheme="minorEastAsia"/>
          <w:b/>
          <w:bCs/>
          <w:color w:val="000000"/>
          <w:sz w:val="28"/>
          <w:szCs w:val="28"/>
          <w:u w:val="single"/>
          <w:rtl/>
        </w:rPr>
        <w:t> </w:t>
      </w:r>
    </w:p>
    <w:p w14:paraId="0D5F22B4" w14:textId="77777777" w:rsidR="00000000" w:rsidRDefault="002F6856">
      <w:pPr>
        <w:snapToGrid/>
        <w:spacing w:line="360" w:lineRule="auto"/>
        <w:jc w:val="both"/>
        <w:rPr>
          <w:rFonts w:eastAsiaTheme="minorEastAsia" w:cs="David"/>
          <w:b/>
          <w:bCs/>
          <w:color w:val="000000"/>
          <w:sz w:val="28"/>
          <w:szCs w:val="28"/>
          <w:u w:val="single"/>
          <w:rtl/>
        </w:rPr>
      </w:pPr>
      <w:r>
        <w:rPr>
          <w:rFonts w:eastAsiaTheme="minorEastAsia"/>
          <w:b/>
          <w:bCs/>
          <w:color w:val="000000"/>
          <w:sz w:val="28"/>
          <w:szCs w:val="28"/>
          <w:u w:val="single"/>
          <w:rtl/>
        </w:rPr>
        <w:t xml:space="preserve">המזכירות תמציא העתקים לב"כ הצדדים. </w:t>
      </w:r>
    </w:p>
    <w:p w14:paraId="15C316AE" w14:textId="77777777" w:rsidR="00000000" w:rsidRDefault="002F6856">
      <w:pPr>
        <w:snapToGrid/>
        <w:spacing w:line="360" w:lineRule="auto"/>
        <w:jc w:val="both"/>
        <w:rPr>
          <w:rFonts w:eastAsiaTheme="minorEastAsia" w:cs="David"/>
          <w:b/>
          <w:bCs/>
          <w:color w:val="000000"/>
          <w:sz w:val="28"/>
          <w:szCs w:val="28"/>
          <w:rtl/>
        </w:rPr>
      </w:pPr>
      <w:r>
        <w:rPr>
          <w:rFonts w:eastAsiaTheme="minorEastAsia"/>
          <w:b/>
          <w:bCs/>
          <w:color w:val="000000"/>
          <w:sz w:val="28"/>
          <w:szCs w:val="28"/>
          <w:rtl/>
        </w:rPr>
        <w:t> </w:t>
      </w:r>
    </w:p>
    <w:p w14:paraId="7849C908" w14:textId="77777777" w:rsidR="00000000" w:rsidRDefault="002F6856">
      <w:pPr>
        <w:snapToGrid/>
        <w:spacing w:line="360" w:lineRule="auto"/>
        <w:jc w:val="both"/>
        <w:rPr>
          <w:rFonts w:eastAsiaTheme="minorEastAsia" w:cs="David"/>
          <w:b/>
          <w:bCs/>
          <w:color w:val="000000"/>
          <w:sz w:val="28"/>
          <w:szCs w:val="28"/>
          <w:rtl/>
        </w:rPr>
      </w:pPr>
      <w:r>
        <w:rPr>
          <w:rFonts w:eastAsiaTheme="minorEastAsia"/>
          <w:b/>
          <w:bCs/>
          <w:color w:val="000000"/>
          <w:sz w:val="28"/>
          <w:szCs w:val="28"/>
          <w:rtl/>
        </w:rPr>
        <w:t xml:space="preserve">ניתן היום א' בסיון, תשס"ו (28 במאי 2006) בהעדר הצדדים. </w:t>
      </w:r>
    </w:p>
    <w:p w14:paraId="41B21E1C" w14:textId="77777777" w:rsidR="00000000" w:rsidRDefault="002F6856">
      <w:pPr>
        <w:snapToGrid/>
        <w:spacing w:line="360" w:lineRule="auto"/>
        <w:jc w:val="both"/>
        <w:rPr>
          <w:rFonts w:eastAsiaTheme="minorEastAsia" w:cs="David"/>
          <w:b/>
          <w:bCs/>
          <w:color w:val="000000"/>
          <w:sz w:val="28"/>
          <w:szCs w:val="28"/>
          <w:rtl/>
        </w:rPr>
      </w:pPr>
      <w:r>
        <w:rPr>
          <w:rFonts w:eastAsiaTheme="minorEastAsia"/>
          <w:b/>
          <w:bCs/>
          <w:color w:val="000000"/>
          <w:sz w:val="28"/>
          <w:szCs w:val="28"/>
          <w:rtl/>
        </w:rPr>
        <w:t> </w:t>
      </w:r>
    </w:p>
    <w:p w14:paraId="6939E8B8" w14:textId="77777777" w:rsidR="00000000" w:rsidRDefault="002F6856">
      <w:pPr>
        <w:snapToGrid/>
        <w:spacing w:line="360" w:lineRule="auto"/>
        <w:jc w:val="both"/>
        <w:rPr>
          <w:rFonts w:eastAsiaTheme="minorEastAsia" w:cs="David"/>
          <w:b/>
          <w:bCs/>
          <w:color w:val="000080"/>
          <w:sz w:val="28"/>
          <w:szCs w:val="28"/>
          <w:rtl/>
        </w:rPr>
      </w:pPr>
      <w:r>
        <w:rPr>
          <w:rFonts w:eastAsiaTheme="minorEastAsia"/>
          <w:b/>
          <w:bCs/>
          <w:color w:val="000080"/>
          <w:sz w:val="28"/>
          <w:szCs w:val="28"/>
          <w:rtl/>
        </w:rPr>
        <w:t> </w:t>
      </w:r>
    </w:p>
    <w:tbl>
      <w:tblPr>
        <w:bidiVisual/>
        <w:tblW w:w="0" w:type="auto"/>
        <w:tblInd w:w="327" w:type="dxa"/>
        <w:tblBorders>
          <w:top w:val="single" w:sz="4" w:space="0" w:color="auto"/>
        </w:tblBorders>
        <w:tblLook w:val="0000" w:firstRow="0" w:lastRow="0" w:firstColumn="0" w:lastColumn="0" w:noHBand="0" w:noVBand="0"/>
      </w:tblPr>
      <w:tblGrid>
        <w:gridCol w:w="2093"/>
      </w:tblGrid>
      <w:tr w:rsidR="00000000" w14:paraId="71217DC9" w14:textId="77777777">
        <w:tc>
          <w:tcPr>
            <w:tcW w:w="2093" w:type="dxa"/>
            <w:tcBorders>
              <w:top w:val="single" w:sz="4" w:space="0" w:color="auto"/>
              <w:left w:val="nil"/>
              <w:bottom w:val="nil"/>
              <w:right w:val="nil"/>
            </w:tcBorders>
          </w:tcPr>
          <w:p w14:paraId="6DA1BECC" w14:textId="77777777" w:rsidR="00000000" w:rsidRDefault="002F6856">
            <w:pPr>
              <w:snapToGrid/>
              <w:spacing w:line="360" w:lineRule="auto"/>
              <w:jc w:val="center"/>
              <w:rPr>
                <w:rFonts w:eastAsiaTheme="minorEastAsia" w:cs="David"/>
                <w:b/>
                <w:bCs/>
                <w:sz w:val="30"/>
                <w:szCs w:val="28"/>
              </w:rPr>
            </w:pPr>
            <w:r>
              <w:rPr>
                <w:rFonts w:eastAsiaTheme="minorEastAsia"/>
                <w:b/>
                <w:bCs/>
                <w:sz w:val="28"/>
                <w:szCs w:val="28"/>
                <w:rtl/>
              </w:rPr>
              <w:t>ר. שפירא, שופט</w:t>
            </w:r>
          </w:p>
        </w:tc>
      </w:tr>
    </w:tbl>
    <w:p w14:paraId="2CE37498" w14:textId="77777777" w:rsidR="00000000" w:rsidRDefault="002F6856">
      <w:pPr>
        <w:snapToGrid/>
        <w:spacing w:line="360" w:lineRule="auto"/>
        <w:jc w:val="right"/>
        <w:rPr>
          <w:rFonts w:eastAsiaTheme="minorEastAsia" w:cs="David"/>
          <w:b/>
          <w:bCs/>
          <w:color w:val="FF0000"/>
          <w:sz w:val="28"/>
          <w:szCs w:val="28"/>
          <w:rtl/>
        </w:rPr>
      </w:pPr>
      <w:r>
        <w:rPr>
          <w:rFonts w:eastAsiaTheme="minorEastAsia"/>
          <w:b/>
          <w:bCs/>
          <w:color w:val="FF0000"/>
          <w:sz w:val="24"/>
          <w:szCs w:val="28"/>
        </w:rPr>
        <w:t> </w:t>
      </w:r>
    </w:p>
    <w:p w14:paraId="2CFCA657" w14:textId="77777777" w:rsidR="00000000" w:rsidRDefault="002F6856">
      <w:pPr>
        <w:snapToGrid/>
        <w:spacing w:line="360" w:lineRule="auto"/>
        <w:jc w:val="both"/>
        <w:rPr>
          <w:rFonts w:eastAsiaTheme="minorEastAsia" w:cs="David"/>
          <w:sz w:val="24"/>
          <w:rtl/>
        </w:rPr>
      </w:pPr>
      <w:r>
        <w:rPr>
          <w:rFonts w:eastAsiaTheme="minorEastAsia"/>
          <w:sz w:val="24"/>
        </w:rPr>
        <w:t> </w:t>
      </w:r>
    </w:p>
    <w:p w14:paraId="73861724" w14:textId="77777777" w:rsidR="00000000" w:rsidRDefault="002F6856">
      <w:pPr>
        <w:snapToGrid/>
        <w:spacing w:line="360" w:lineRule="auto"/>
        <w:jc w:val="both"/>
        <w:rPr>
          <w:rFonts w:eastAsiaTheme="minorEastAsia" w:cs="David"/>
          <w:sz w:val="24"/>
          <w:rtl/>
        </w:rPr>
      </w:pPr>
      <w:r>
        <w:rPr>
          <w:rFonts w:eastAsiaTheme="minorEastAsia"/>
          <w:sz w:val="24"/>
          <w:rtl/>
        </w:rPr>
        <w:t> </w:t>
      </w:r>
    </w:p>
    <w:p w14:paraId="7A32C17A" w14:textId="77777777" w:rsidR="00000000" w:rsidRDefault="002F6856">
      <w:pPr>
        <w:snapToGrid/>
        <w:spacing w:line="360" w:lineRule="auto"/>
        <w:jc w:val="both"/>
        <w:rPr>
          <w:rFonts w:eastAsiaTheme="minorEastAsia" w:cs="David"/>
          <w:sz w:val="28"/>
          <w:szCs w:val="28"/>
          <w:rtl/>
        </w:rPr>
      </w:pPr>
      <w:r>
        <w:rPr>
          <w:rFonts w:eastAsiaTheme="minorEastAsia"/>
          <w:sz w:val="24"/>
          <w:rtl/>
        </w:rPr>
        <w:t>הקלדנית: ליאת פנקר</w:t>
      </w:r>
    </w:p>
    <w:p w14:paraId="083559D6" w14:textId="77777777" w:rsidR="002F6856" w:rsidRDefault="002F6856">
      <w:pPr>
        <w:snapToGrid/>
        <w:rPr>
          <w:rFonts w:eastAsiaTheme="minorEastAsia"/>
          <w:sz w:val="24"/>
        </w:rPr>
      </w:pPr>
    </w:p>
    <w:sectPr w:rsidR="002F6856">
      <w:pgSz w:w="12240" w:h="15840"/>
      <w:pgMar w:top="1440" w:right="1800" w:bottom="1440" w:left="180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altName w:val="Book Antiqua"/>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avid">
    <w:altName w:val="Times New Roman"/>
    <w:panose1 w:val="020E0502060401010101"/>
    <w:charset w:val="00"/>
    <w:family w:val="swiss"/>
    <w:pitch w:val="variable"/>
    <w:sig w:usb0="00000803" w:usb1="00000000" w:usb2="00000000" w:usb3="00000000" w:csb0="0000002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1E0C"/>
    <w:rsid w:val="00021E0C"/>
    <w:rsid w:val="002F6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C98A03"/>
  <w14:defaultImageDpi w14:val="0"/>
  <w15:docId w15:val="{307494A7-A181-44D8-A87D-53265797B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99"/>
    <w:qFormat/>
    <w:pPr>
      <w:bidi/>
      <w:snapToGrid w:val="0"/>
      <w:spacing w:after="0" w:line="240" w:lineRule="auto"/>
    </w:pPr>
    <w:rPr>
      <w:rFonts w:ascii="Times New Roman" w:eastAsia="Times New Roman" w:hAnsi="Times New Roman" w:cs="Times New Roman"/>
      <w:sz w:val="20"/>
      <w:szCs w:val="24"/>
      <w:lang w:eastAsia="he-IL"/>
    </w:rPr>
  </w:style>
  <w:style w:type="paragraph" w:styleId="1">
    <w:name w:val="heading 1"/>
    <w:basedOn w:val="a"/>
    <w:next w:val="a"/>
    <w:link w:val="10"/>
    <w:uiPriority w:val="99"/>
    <w:qFormat/>
    <w:pPr>
      <w:keepNext/>
      <w:snapToGrid/>
      <w:spacing w:line="360" w:lineRule="auto"/>
      <w:jc w:val="center"/>
      <w:outlineLvl w:val="0"/>
    </w:pPr>
    <w:rPr>
      <w:b/>
      <w:bCs/>
      <w:sz w:val="32"/>
      <w:szCs w:val="32"/>
      <w:u w:val="single"/>
    </w:rPr>
  </w:style>
  <w:style w:type="paragraph" w:styleId="2">
    <w:name w:val="heading 2"/>
    <w:basedOn w:val="a"/>
    <w:next w:val="a"/>
    <w:link w:val="20"/>
    <w:uiPriority w:val="99"/>
    <w:qFormat/>
    <w:pPr>
      <w:keepNext/>
      <w:spacing w:before="240" w:after="60" w:line="360" w:lineRule="auto"/>
      <w:jc w:val="center"/>
      <w:outlineLvl w:val="1"/>
    </w:pPr>
    <w:rPr>
      <w:rFonts w:ascii="Arial"/>
      <w:b/>
      <w:bCs/>
      <w:sz w:val="24"/>
      <w:szCs w:val="28"/>
      <w:u w:val="single"/>
    </w:rPr>
  </w:style>
  <w:style w:type="paragraph" w:styleId="3">
    <w:name w:val="heading 3"/>
    <w:basedOn w:val="a"/>
    <w:next w:val="a"/>
    <w:link w:val="30"/>
    <w:uiPriority w:val="99"/>
    <w:qFormat/>
    <w:pPr>
      <w:keepNext/>
      <w:snapToGrid/>
      <w:spacing w:line="360" w:lineRule="auto"/>
      <w:jc w:val="both"/>
      <w:outlineLvl w:val="2"/>
    </w:pPr>
    <w:rPr>
      <w:b/>
      <w:bCs/>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uiPriority w:val="9"/>
    <w:rPr>
      <w:rFonts w:asciiTheme="majorHAnsi" w:eastAsiaTheme="majorEastAsia" w:hAnsiTheme="majorHAnsi" w:cstheme="majorBidi"/>
      <w:b/>
      <w:bCs/>
      <w:kern w:val="32"/>
      <w:sz w:val="32"/>
      <w:szCs w:val="32"/>
      <w:lang w:eastAsia="he-IL"/>
    </w:rPr>
  </w:style>
  <w:style w:type="character" w:customStyle="1" w:styleId="20">
    <w:name w:val="כותרת 2 תו"/>
    <w:basedOn w:val="a0"/>
    <w:link w:val="2"/>
    <w:uiPriority w:val="9"/>
    <w:semiHidden/>
    <w:rPr>
      <w:rFonts w:asciiTheme="majorHAnsi" w:eastAsiaTheme="majorEastAsia" w:hAnsiTheme="majorHAnsi" w:cstheme="majorBidi"/>
      <w:b/>
      <w:bCs/>
      <w:i/>
      <w:iCs/>
      <w:sz w:val="28"/>
      <w:szCs w:val="28"/>
      <w:lang w:eastAsia="he-IL"/>
    </w:rPr>
  </w:style>
  <w:style w:type="character" w:customStyle="1" w:styleId="30">
    <w:name w:val="כותרת 3 תו"/>
    <w:basedOn w:val="a0"/>
    <w:link w:val="3"/>
    <w:uiPriority w:val="9"/>
    <w:semiHidden/>
    <w:rPr>
      <w:rFonts w:asciiTheme="majorHAnsi" w:eastAsiaTheme="majorEastAsia" w:hAnsiTheme="majorHAnsi" w:cstheme="majorBidi"/>
      <w:b/>
      <w:bCs/>
      <w:sz w:val="26"/>
      <w:szCs w:val="26"/>
      <w:lang w:eastAsia="he-IL"/>
    </w:rPr>
  </w:style>
  <w:style w:type="paragraph" w:styleId="a3">
    <w:name w:val="header"/>
    <w:basedOn w:val="a"/>
    <w:link w:val="a4"/>
    <w:uiPriority w:val="99"/>
    <w:pPr>
      <w:tabs>
        <w:tab w:val="center" w:pos="4153"/>
        <w:tab w:val="right" w:pos="8306"/>
      </w:tabs>
      <w:spacing w:line="360" w:lineRule="auto"/>
      <w:jc w:val="both"/>
    </w:pPr>
  </w:style>
  <w:style w:type="character" w:customStyle="1" w:styleId="a4">
    <w:name w:val="כותרת עליונה תו"/>
    <w:basedOn w:val="a0"/>
    <w:link w:val="a3"/>
    <w:uiPriority w:val="99"/>
    <w:semiHidden/>
    <w:rPr>
      <w:rFonts w:ascii="Times New Roman" w:hAnsi="Times New Roman" w:cs="Times New Roman"/>
      <w:sz w:val="24"/>
      <w:szCs w:val="24"/>
      <w:lang w:eastAsia="he-IL"/>
    </w:rPr>
  </w:style>
  <w:style w:type="paragraph" w:styleId="a5">
    <w:name w:val="footer"/>
    <w:basedOn w:val="a"/>
    <w:link w:val="a6"/>
    <w:uiPriority w:val="99"/>
    <w:pPr>
      <w:tabs>
        <w:tab w:val="center" w:pos="4153"/>
        <w:tab w:val="right" w:pos="8306"/>
      </w:tabs>
      <w:spacing w:line="360" w:lineRule="auto"/>
      <w:jc w:val="both"/>
    </w:pPr>
    <w:rPr>
      <w:sz w:val="22"/>
    </w:rPr>
  </w:style>
  <w:style w:type="character" w:customStyle="1" w:styleId="a6">
    <w:name w:val="כותרת תחתונה תו"/>
    <w:basedOn w:val="a0"/>
    <w:link w:val="a5"/>
    <w:uiPriority w:val="99"/>
    <w:semiHidden/>
    <w:rPr>
      <w:rFonts w:ascii="Times New Roman" w:hAnsi="Times New Roman" w:cs="Times New Roman"/>
      <w:sz w:val="24"/>
      <w:szCs w:val="24"/>
      <w:lang w:eastAsia="he-IL"/>
    </w:rPr>
  </w:style>
  <w:style w:type="paragraph" w:styleId="a7">
    <w:name w:val="Block Text"/>
    <w:basedOn w:val="a"/>
    <w:uiPriority w:val="99"/>
    <w:pPr>
      <w:snapToGrid/>
      <w:spacing w:line="360" w:lineRule="auto"/>
      <w:ind w:left="720" w:right="720"/>
      <w:jc w:val="both"/>
    </w:pPr>
    <w:rPr>
      <w:b/>
      <w:bCs/>
      <w:sz w:val="28"/>
      <w:szCs w:val="28"/>
      <w:lang w:eastAsia="en-US"/>
    </w:rPr>
  </w:style>
  <w:style w:type="paragraph" w:customStyle="1" w:styleId="a8">
    <w:name w:val="שמות"/>
    <w:basedOn w:val="a"/>
    <w:uiPriority w:val="99"/>
    <w:pPr>
      <w:suppressLineNumbers/>
      <w:spacing w:line="360" w:lineRule="auto"/>
      <w:jc w:val="both"/>
    </w:pPr>
    <w:rPr>
      <w:b/>
      <w:bCs/>
      <w:sz w:val="22"/>
    </w:rPr>
  </w:style>
  <w:style w:type="paragraph" w:styleId="a9">
    <w:name w:val="Signature"/>
    <w:basedOn w:val="2"/>
    <w:link w:val="aa"/>
    <w:uiPriority w:val="99"/>
    <w:pPr>
      <w:suppressLineNumbers/>
    </w:pPr>
    <w:rPr>
      <w:rFonts w:hAnsi="Arial"/>
      <w:bCs w:val="0"/>
      <w:szCs w:val="24"/>
    </w:rPr>
  </w:style>
  <w:style w:type="character" w:customStyle="1" w:styleId="aa">
    <w:name w:val="חתימה תו"/>
    <w:basedOn w:val="a0"/>
    <w:link w:val="a9"/>
    <w:uiPriority w:val="99"/>
    <w:semiHidden/>
    <w:rPr>
      <w:rFonts w:ascii="Times New Roman" w:eastAsia="Times New Roman" w:hAnsi="Times New Roman" w:cs="Times New Roman"/>
      <w:sz w:val="20"/>
      <w:szCs w:val="24"/>
      <w:lang w:eastAsia="he-IL"/>
    </w:rPr>
  </w:style>
  <w:style w:type="paragraph" w:customStyle="1" w:styleId="ab">
    <w:name w:val="החלטה"/>
    <w:basedOn w:val="a"/>
    <w:uiPriority w:val="99"/>
    <w:pPr>
      <w:suppressLineNumbers/>
    </w:pPr>
    <w:rPr>
      <w:bCs/>
    </w:rPr>
  </w:style>
  <w:style w:type="paragraph" w:customStyle="1" w:styleId="ac">
    <w:name w:val="חקירה"/>
    <w:basedOn w:val="a"/>
    <w:uiPriority w:val="99"/>
    <w:pPr>
      <w:suppressLineNumbers/>
    </w:pPr>
  </w:style>
  <w:style w:type="character" w:styleId="ad">
    <w:name w:val="page number"/>
    <w:basedOn w:val="a0"/>
    <w:uiPriority w:val="99"/>
    <w:rPr>
      <w:rFonts w:cs="David"/>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2323</Words>
  <Characters>11615</Characters>
  <Application>Microsoft Office Word</Application>
  <DocSecurity>0</DocSecurity>
  <Lines>96</Lines>
  <Paragraphs>27</Paragraphs>
  <ScaleCrop>false</ScaleCrop>
  <HeadingPairs>
    <vt:vector size="2" baseType="variant">
      <vt:variant>
        <vt:lpstr>שם</vt:lpstr>
      </vt:variant>
      <vt:variant>
        <vt:i4>1</vt:i4>
      </vt:variant>
    </vt:vector>
  </HeadingPairs>
  <TitlesOfParts>
    <vt:vector size="1" baseType="lpstr">
      <vt:lpstr>3</vt:lpstr>
    </vt:vector>
  </TitlesOfParts>
  <Company> </Company>
  <LinksUpToDate>false</LinksUpToDate>
  <CharactersWithSpaces>13911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subject/>
  <dc:creator>miri</dc:creator>
  <cp:keywords/>
  <dc:description/>
  <cp:lastModifiedBy>משתמש</cp:lastModifiedBy>
  <cp:revision>2</cp:revision>
  <dcterms:created xsi:type="dcterms:W3CDTF">2019-07-15T07:11:00Z</dcterms:created>
  <dcterms:modified xsi:type="dcterms:W3CDTF">2019-07-15T07:11:00Z</dcterms:modified>
</cp:coreProperties>
</file>