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34B3F4" w14:textId="77777777" w:rsidR="00827F11" w:rsidRDefault="00827F11">
      <w:pPr>
        <w:pStyle w:val="a3"/>
        <w:framePr w:wrap="auto" w:vAnchor="text" w:hAnchor="margin" w:xAlign="center" w:y="1"/>
        <w:jc w:val="left"/>
        <w:divId w:val="1619486582"/>
        <w:rPr>
          <w:rStyle w:val="ab"/>
          <w:szCs w:val="20"/>
        </w:rPr>
      </w:pPr>
      <w:r>
        <w:rPr>
          <w:rStyle w:val="ab"/>
          <w:szCs w:val="20"/>
        </w:rPr>
        <w:fldChar w:fldCharType="begin"/>
      </w:r>
      <w:r>
        <w:rPr>
          <w:rStyle w:val="ab"/>
          <w:szCs w:val="20"/>
        </w:rPr>
        <w:instrText>PAGE</w:instrText>
      </w:r>
      <w:r>
        <w:rPr>
          <w:rStyle w:val="ab"/>
          <w:szCs w:val="20"/>
          <w:rtl/>
        </w:rPr>
        <w:instrText xml:space="preserve">  </w:instrText>
      </w:r>
      <w:r>
        <w:rPr>
          <w:rStyle w:val="ab"/>
          <w:szCs w:val="20"/>
        </w:rPr>
        <w:fldChar w:fldCharType="separate"/>
      </w:r>
      <w:r>
        <w:rPr>
          <w:rStyle w:val="ab"/>
          <w:noProof/>
          <w:szCs w:val="20"/>
        </w:rPr>
        <w:t>1</w:t>
      </w:r>
      <w:r>
        <w:rPr>
          <w:rStyle w:val="ab"/>
          <w:szCs w:val="20"/>
        </w:rPr>
        <w:fldChar w:fldCharType="end"/>
      </w:r>
    </w:p>
    <w:p w14:paraId="5CE83C5B" w14:textId="77777777" w:rsidR="00827F11" w:rsidRDefault="00827F11">
      <w:pPr>
        <w:spacing w:line="360" w:lineRule="auto"/>
        <w:jc w:val="center"/>
        <w:divId w:val="1619486582"/>
        <w:rPr>
          <w:rtl/>
        </w:rPr>
      </w:pPr>
    </w:p>
    <w:p w14:paraId="5460490C" w14:textId="77777777" w:rsidR="00827F11" w:rsidRDefault="00827F11">
      <w:pPr>
        <w:spacing w:line="360" w:lineRule="auto"/>
        <w:jc w:val="center"/>
        <w:divId w:val="1619486582"/>
        <w:rPr>
          <w:rtl/>
        </w:rPr>
      </w:pPr>
    </w:p>
    <w:p w14:paraId="0CDF30F9" w14:textId="77777777" w:rsidR="00827F11" w:rsidRDefault="00827F11">
      <w:pPr>
        <w:spacing w:line="360" w:lineRule="auto"/>
        <w:jc w:val="center"/>
        <w:divId w:val="1619486582"/>
        <w:rPr>
          <w:szCs w:val="28"/>
          <w:rtl/>
        </w:rPr>
      </w:pPr>
      <w:r>
        <w:rPr>
          <w:b/>
          <w:bCs/>
          <w:szCs w:val="36"/>
          <w:rtl/>
        </w:rPr>
        <w:t>בתי המשפט</w:t>
      </w:r>
      <w:r>
        <w:rPr>
          <w:szCs w:val="28"/>
          <w:rtl/>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
        <w:gridCol w:w="4549"/>
        <w:gridCol w:w="924"/>
        <w:gridCol w:w="1927"/>
      </w:tblGrid>
      <w:tr w:rsidR="00827F11" w14:paraId="3328DFC0" w14:textId="77777777">
        <w:trPr>
          <w:divId w:val="1619486582"/>
          <w:trHeight w:val="195"/>
        </w:trPr>
        <w:tc>
          <w:tcPr>
            <w:tcW w:w="5614" w:type="dxa"/>
            <w:gridSpan w:val="2"/>
            <w:vMerge w:val="restart"/>
            <w:tcBorders>
              <w:top w:val="single" w:sz="4" w:space="0" w:color="auto"/>
              <w:bottom w:val="single" w:sz="4" w:space="0" w:color="auto"/>
              <w:right w:val="single" w:sz="4" w:space="0" w:color="auto"/>
            </w:tcBorders>
          </w:tcPr>
          <w:p w14:paraId="69666B3D" w14:textId="77777777" w:rsidR="00827F11" w:rsidRDefault="00827F11">
            <w:pPr>
              <w:spacing w:line="360" w:lineRule="auto"/>
              <w:jc w:val="both"/>
              <w:rPr>
                <w:b/>
                <w:bCs/>
                <w:sz w:val="28"/>
                <w:szCs w:val="28"/>
              </w:rPr>
            </w:pPr>
            <w:r>
              <w:rPr>
                <w:b/>
                <w:bCs/>
                <w:sz w:val="28"/>
                <w:szCs w:val="28"/>
                <w:rtl/>
              </w:rPr>
              <w:t>בית משפט מחוזי תל אביב-יפו</w:t>
            </w:r>
          </w:p>
        </w:tc>
        <w:tc>
          <w:tcPr>
            <w:tcW w:w="2915" w:type="dxa"/>
            <w:gridSpan w:val="2"/>
            <w:tcBorders>
              <w:top w:val="single" w:sz="4" w:space="0" w:color="auto"/>
              <w:left w:val="single" w:sz="4" w:space="0" w:color="auto"/>
              <w:bottom w:val="single" w:sz="4" w:space="0" w:color="auto"/>
            </w:tcBorders>
          </w:tcPr>
          <w:p w14:paraId="192CF880" w14:textId="77777777" w:rsidR="00827F11" w:rsidRDefault="00827F11">
            <w:pPr>
              <w:spacing w:line="360" w:lineRule="auto"/>
              <w:rPr>
                <w:b/>
                <w:bCs/>
                <w:sz w:val="28"/>
                <w:szCs w:val="28"/>
              </w:rPr>
            </w:pPr>
            <w:r>
              <w:rPr>
                <w:b/>
                <w:bCs/>
                <w:sz w:val="28"/>
                <w:szCs w:val="28"/>
                <w:rtl/>
              </w:rPr>
              <w:t>פשר 002211/03</w:t>
            </w:r>
          </w:p>
          <w:p w14:paraId="6D460B35" w14:textId="77777777" w:rsidR="00827F11" w:rsidRDefault="00827F11">
            <w:pPr>
              <w:spacing w:line="360" w:lineRule="auto"/>
              <w:rPr>
                <w:b/>
                <w:bCs/>
                <w:sz w:val="28"/>
                <w:szCs w:val="28"/>
              </w:rPr>
            </w:pPr>
            <w:r>
              <w:rPr>
                <w:b/>
                <w:bCs/>
                <w:sz w:val="28"/>
                <w:szCs w:val="28"/>
                <w:rtl/>
              </w:rPr>
              <w:t>בשא 15089/08</w:t>
            </w:r>
          </w:p>
        </w:tc>
      </w:tr>
      <w:tr w:rsidR="00827F11" w14:paraId="1ECA78AC" w14:textId="77777777">
        <w:trPr>
          <w:divId w:val="1619486582"/>
          <w:trHeight w:val="195"/>
        </w:trPr>
        <w:tc>
          <w:tcPr>
            <w:tcW w:w="0" w:type="auto"/>
            <w:gridSpan w:val="2"/>
            <w:vMerge/>
            <w:tcBorders>
              <w:top w:val="single" w:sz="4" w:space="0" w:color="auto"/>
              <w:bottom w:val="single" w:sz="4" w:space="0" w:color="auto"/>
              <w:right w:val="single" w:sz="4" w:space="0" w:color="auto"/>
            </w:tcBorders>
            <w:vAlign w:val="center"/>
          </w:tcPr>
          <w:p w14:paraId="421C8704" w14:textId="77777777" w:rsidR="00827F11" w:rsidRDefault="00827F11">
            <w:pPr>
              <w:bidi w:val="0"/>
              <w:snapToGrid/>
              <w:rPr>
                <w:b/>
                <w:bCs/>
                <w:sz w:val="28"/>
                <w:szCs w:val="28"/>
              </w:rPr>
            </w:pPr>
          </w:p>
        </w:tc>
        <w:tc>
          <w:tcPr>
            <w:tcW w:w="2915" w:type="dxa"/>
            <w:gridSpan w:val="2"/>
            <w:tcBorders>
              <w:top w:val="single" w:sz="4" w:space="0" w:color="auto"/>
              <w:left w:val="single" w:sz="4" w:space="0" w:color="auto"/>
              <w:bottom w:val="single" w:sz="4" w:space="0" w:color="auto"/>
            </w:tcBorders>
          </w:tcPr>
          <w:p w14:paraId="5B747C1E" w14:textId="77777777" w:rsidR="00827F11" w:rsidRDefault="00827F11">
            <w:pPr>
              <w:spacing w:line="360" w:lineRule="auto"/>
              <w:rPr>
                <w:b/>
                <w:bCs/>
                <w:sz w:val="28"/>
                <w:szCs w:val="28"/>
              </w:rPr>
            </w:pPr>
          </w:p>
        </w:tc>
      </w:tr>
      <w:tr w:rsidR="00827F11" w14:paraId="306D8918" w14:textId="77777777">
        <w:trPr>
          <w:divId w:val="1619486582"/>
          <w:trHeight w:val="286"/>
        </w:trPr>
        <w:tc>
          <w:tcPr>
            <w:tcW w:w="908" w:type="dxa"/>
            <w:tcBorders>
              <w:top w:val="single" w:sz="4" w:space="0" w:color="auto"/>
              <w:bottom w:val="single" w:sz="4" w:space="0" w:color="auto"/>
              <w:right w:val="single" w:sz="4" w:space="0" w:color="auto"/>
            </w:tcBorders>
          </w:tcPr>
          <w:p w14:paraId="588415EE" w14:textId="77777777" w:rsidR="00827F11" w:rsidRDefault="00827F11">
            <w:pPr>
              <w:spacing w:line="360" w:lineRule="auto"/>
              <w:jc w:val="both"/>
              <w:rPr>
                <w:b/>
                <w:bCs/>
                <w:sz w:val="28"/>
                <w:szCs w:val="28"/>
              </w:rPr>
            </w:pPr>
            <w:r>
              <w:rPr>
                <w:b/>
                <w:bCs/>
                <w:sz w:val="28"/>
                <w:szCs w:val="28"/>
                <w:rtl/>
              </w:rPr>
              <w:t>בפני:</w:t>
            </w:r>
          </w:p>
        </w:tc>
        <w:tc>
          <w:tcPr>
            <w:tcW w:w="4706" w:type="dxa"/>
            <w:tcBorders>
              <w:top w:val="single" w:sz="4" w:space="0" w:color="auto"/>
              <w:left w:val="single" w:sz="4" w:space="0" w:color="auto"/>
              <w:bottom w:val="single" w:sz="4" w:space="0" w:color="auto"/>
              <w:right w:val="single" w:sz="4" w:space="0" w:color="auto"/>
            </w:tcBorders>
          </w:tcPr>
          <w:p w14:paraId="5E4A352F" w14:textId="77777777" w:rsidR="00827F11" w:rsidRDefault="00827F11">
            <w:pPr>
              <w:spacing w:line="360" w:lineRule="auto"/>
              <w:jc w:val="both"/>
              <w:rPr>
                <w:b/>
                <w:bCs/>
                <w:sz w:val="28"/>
                <w:szCs w:val="28"/>
              </w:rPr>
            </w:pPr>
            <w:r>
              <w:rPr>
                <w:b/>
                <w:bCs/>
                <w:sz w:val="28"/>
                <w:szCs w:val="28"/>
                <w:rtl/>
              </w:rPr>
              <w:t>כבוד השופטת ורדה אלשיך – סגנית נשיא</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E7313A" w14:textId="77777777" w:rsidR="00827F11" w:rsidRDefault="00827F11">
            <w:pPr>
              <w:spacing w:line="360" w:lineRule="auto"/>
              <w:jc w:val="both"/>
              <w:rPr>
                <w:b/>
                <w:bCs/>
                <w:sz w:val="28"/>
                <w:szCs w:val="28"/>
              </w:rPr>
            </w:pPr>
          </w:p>
        </w:tc>
        <w:tc>
          <w:tcPr>
            <w:tcW w:w="1951" w:type="dxa"/>
            <w:tcBorders>
              <w:top w:val="single" w:sz="4" w:space="0" w:color="auto"/>
              <w:left w:val="single" w:sz="4" w:space="0" w:color="auto"/>
              <w:bottom w:val="single" w:sz="4" w:space="0" w:color="auto"/>
            </w:tcBorders>
          </w:tcPr>
          <w:p w14:paraId="43586027" w14:textId="77777777" w:rsidR="00827F11" w:rsidRDefault="00827F11">
            <w:pPr>
              <w:spacing w:line="360" w:lineRule="auto"/>
              <w:rPr>
                <w:b/>
                <w:bCs/>
                <w:sz w:val="28"/>
                <w:szCs w:val="28"/>
              </w:rPr>
            </w:pPr>
            <w:r>
              <w:rPr>
                <w:b/>
                <w:bCs/>
                <w:sz w:val="28"/>
                <w:szCs w:val="28"/>
                <w:rtl/>
              </w:rPr>
              <w:t>29/12/2008</w:t>
            </w:r>
          </w:p>
        </w:tc>
      </w:tr>
    </w:tbl>
    <w:p w14:paraId="753117C9" w14:textId="77777777" w:rsidR="00827F11" w:rsidRDefault="00827F11">
      <w:pPr>
        <w:spacing w:line="360" w:lineRule="auto"/>
        <w:jc w:val="both"/>
        <w:divId w:val="1619486582"/>
        <w:rPr>
          <w:sz w:val="30"/>
          <w:szCs w:val="30"/>
          <w:rtl/>
        </w:rPr>
      </w:pPr>
    </w:p>
    <w:p w14:paraId="776A7174" w14:textId="77777777" w:rsidR="00827F11" w:rsidRDefault="00827F11">
      <w:pPr>
        <w:pStyle w:val="a3"/>
        <w:jc w:val="left"/>
        <w:divId w:val="1619486582"/>
        <w:rPr>
          <w:szCs w:val="20"/>
          <w:rtl/>
        </w:rPr>
      </w:pPr>
    </w:p>
    <w:p w14:paraId="498F5DA9" w14:textId="77777777" w:rsidR="00827F11" w:rsidRDefault="00827F11">
      <w:pPr>
        <w:spacing w:line="360" w:lineRule="auto"/>
        <w:jc w:val="both"/>
        <w:divId w:val="1619486582"/>
        <w:rPr>
          <w:rFonts w:cs="FrankRuehl"/>
          <w:b/>
          <w:bCs/>
          <w:sz w:val="28"/>
          <w:szCs w:val="28"/>
          <w:rtl/>
        </w:rPr>
      </w:pPr>
    </w:p>
    <w:tbl>
      <w:tblPr>
        <w:bidiVisual/>
        <w:tblW w:w="8591" w:type="dxa"/>
        <w:tblInd w:w="56" w:type="dxa"/>
        <w:tblCellMar>
          <w:left w:w="107" w:type="dxa"/>
          <w:right w:w="107" w:type="dxa"/>
        </w:tblCellMar>
        <w:tblLook w:val="0000" w:firstRow="0" w:lastRow="0" w:firstColumn="0" w:lastColumn="0" w:noHBand="0" w:noVBand="0"/>
      </w:tblPr>
      <w:tblGrid>
        <w:gridCol w:w="1362"/>
        <w:gridCol w:w="5868"/>
        <w:gridCol w:w="1361"/>
      </w:tblGrid>
      <w:tr w:rsidR="00827F11" w14:paraId="2F49864C" w14:textId="77777777">
        <w:trPr>
          <w:divId w:val="1619486582"/>
        </w:trPr>
        <w:tc>
          <w:tcPr>
            <w:tcW w:w="1362" w:type="dxa"/>
          </w:tcPr>
          <w:p w14:paraId="1C08F33D" w14:textId="77777777" w:rsidR="00827F11" w:rsidRDefault="00827F11">
            <w:pPr>
              <w:jc w:val="both"/>
              <w:rPr>
                <w:rFonts w:cs="FrankRuehl"/>
                <w:b/>
                <w:bCs/>
                <w:sz w:val="28"/>
                <w:szCs w:val="28"/>
              </w:rPr>
            </w:pPr>
            <w:r>
              <w:rPr>
                <w:rFonts w:cs="FrankRuehl"/>
                <w:b/>
                <w:bCs/>
                <w:sz w:val="28"/>
                <w:szCs w:val="28"/>
                <w:rtl/>
              </w:rPr>
              <w:t>המערער:</w:t>
            </w:r>
          </w:p>
        </w:tc>
        <w:tc>
          <w:tcPr>
            <w:tcW w:w="5868" w:type="dxa"/>
          </w:tcPr>
          <w:p w14:paraId="1E6832A5" w14:textId="77777777" w:rsidR="00827F11" w:rsidRDefault="00827F11">
            <w:pPr>
              <w:rPr>
                <w:rFonts w:cs="FrankRuehl"/>
                <w:b/>
                <w:bCs/>
                <w:sz w:val="28"/>
                <w:szCs w:val="28"/>
              </w:rPr>
            </w:pPr>
            <w:r>
              <w:rPr>
                <w:rFonts w:cs="FrankRuehl"/>
                <w:b/>
                <w:bCs/>
                <w:sz w:val="28"/>
                <w:szCs w:val="28"/>
                <w:rtl/>
              </w:rPr>
              <w:t>כדור האור</w:t>
            </w:r>
          </w:p>
          <w:p w14:paraId="1E6BA25C" w14:textId="77777777" w:rsidR="00827F11" w:rsidRDefault="00827F11">
            <w:pPr>
              <w:rPr>
                <w:rFonts w:cs="FrankRuehl"/>
                <w:b/>
                <w:bCs/>
                <w:sz w:val="28"/>
                <w:szCs w:val="28"/>
                <w:rtl/>
              </w:rPr>
            </w:pPr>
            <w:r>
              <w:rPr>
                <w:rFonts w:cs="FrankRuehl"/>
                <w:b/>
                <w:bCs/>
                <w:sz w:val="28"/>
                <w:szCs w:val="28"/>
                <w:rtl/>
              </w:rPr>
              <w:t>ע"י ב"כ עוה"ד בלושטיין, בר-קהן, ציגנלאוב ושות'</w:t>
            </w:r>
          </w:p>
          <w:p w14:paraId="224062AA" w14:textId="77777777" w:rsidR="00827F11" w:rsidRDefault="00827F11">
            <w:pPr>
              <w:rPr>
                <w:rFonts w:cs="FrankRuehl"/>
                <w:b/>
                <w:bCs/>
                <w:sz w:val="28"/>
                <w:szCs w:val="28"/>
              </w:rPr>
            </w:pPr>
          </w:p>
        </w:tc>
        <w:tc>
          <w:tcPr>
            <w:tcW w:w="1361" w:type="dxa"/>
          </w:tcPr>
          <w:p w14:paraId="1B15D2ED" w14:textId="77777777" w:rsidR="00827F11" w:rsidRDefault="00827F11">
            <w:pPr>
              <w:jc w:val="both"/>
              <w:rPr>
                <w:rFonts w:cs="FrankRuehl"/>
                <w:b/>
                <w:bCs/>
                <w:sz w:val="28"/>
                <w:szCs w:val="28"/>
                <w:u w:val="single"/>
              </w:rPr>
            </w:pPr>
          </w:p>
        </w:tc>
      </w:tr>
      <w:tr w:rsidR="00827F11" w14:paraId="55A55533" w14:textId="77777777">
        <w:trPr>
          <w:divId w:val="1619486582"/>
        </w:trPr>
        <w:tc>
          <w:tcPr>
            <w:tcW w:w="1362" w:type="dxa"/>
          </w:tcPr>
          <w:p w14:paraId="32B1CDEE" w14:textId="77777777" w:rsidR="00827F11" w:rsidRDefault="00827F11">
            <w:pPr>
              <w:jc w:val="both"/>
              <w:rPr>
                <w:rFonts w:cs="FrankRuehl"/>
                <w:b/>
                <w:bCs/>
                <w:sz w:val="28"/>
                <w:szCs w:val="28"/>
              </w:rPr>
            </w:pPr>
          </w:p>
        </w:tc>
        <w:tc>
          <w:tcPr>
            <w:tcW w:w="5868" w:type="dxa"/>
          </w:tcPr>
          <w:p w14:paraId="6A35DF67" w14:textId="77777777" w:rsidR="00827F11" w:rsidRDefault="00827F11">
            <w:pPr>
              <w:rPr>
                <w:rFonts w:cs="FrankRuehl"/>
                <w:b/>
                <w:bCs/>
                <w:sz w:val="28"/>
                <w:szCs w:val="28"/>
              </w:rPr>
            </w:pPr>
            <w:r>
              <w:rPr>
                <w:rFonts w:cs="FrankRuehl"/>
                <w:b/>
                <w:bCs/>
                <w:sz w:val="28"/>
                <w:szCs w:val="28"/>
                <w:rtl/>
              </w:rPr>
              <w:t>--  נ ג ד  --</w:t>
            </w:r>
          </w:p>
          <w:p w14:paraId="2FC8583F" w14:textId="77777777" w:rsidR="00827F11" w:rsidRDefault="00827F11">
            <w:pPr>
              <w:rPr>
                <w:rFonts w:cs="FrankRuehl"/>
                <w:b/>
                <w:bCs/>
                <w:sz w:val="28"/>
                <w:szCs w:val="28"/>
              </w:rPr>
            </w:pPr>
          </w:p>
        </w:tc>
        <w:tc>
          <w:tcPr>
            <w:tcW w:w="1361" w:type="dxa"/>
          </w:tcPr>
          <w:p w14:paraId="33EE3CF5" w14:textId="77777777" w:rsidR="00827F11" w:rsidRDefault="00827F11">
            <w:pPr>
              <w:jc w:val="both"/>
              <w:rPr>
                <w:rFonts w:cs="FrankRuehl"/>
                <w:b/>
                <w:bCs/>
                <w:sz w:val="28"/>
                <w:szCs w:val="28"/>
              </w:rPr>
            </w:pPr>
          </w:p>
        </w:tc>
      </w:tr>
      <w:tr w:rsidR="00827F11" w14:paraId="0B74D8E5" w14:textId="77777777">
        <w:trPr>
          <w:divId w:val="1619486582"/>
        </w:trPr>
        <w:tc>
          <w:tcPr>
            <w:tcW w:w="1362" w:type="dxa"/>
          </w:tcPr>
          <w:p w14:paraId="42C26955" w14:textId="77777777" w:rsidR="00827F11" w:rsidRDefault="00827F11">
            <w:pPr>
              <w:jc w:val="both"/>
              <w:rPr>
                <w:rFonts w:cs="FrankRuehl"/>
                <w:b/>
                <w:bCs/>
                <w:sz w:val="28"/>
                <w:szCs w:val="28"/>
              </w:rPr>
            </w:pPr>
            <w:bookmarkStart w:id="1" w:name="שם_ב" w:colFirst="1" w:colLast="1"/>
            <w:r>
              <w:rPr>
                <w:rFonts w:cs="FrankRuehl"/>
                <w:b/>
                <w:bCs/>
                <w:sz w:val="28"/>
                <w:szCs w:val="28"/>
                <w:rtl/>
              </w:rPr>
              <w:t>המשיבים:</w:t>
            </w:r>
          </w:p>
        </w:tc>
        <w:tc>
          <w:tcPr>
            <w:tcW w:w="5868" w:type="dxa"/>
          </w:tcPr>
          <w:p w14:paraId="374FB99F" w14:textId="77777777" w:rsidR="00827F11" w:rsidRDefault="00827F11">
            <w:pPr>
              <w:rPr>
                <w:rFonts w:cs="FrankRuehl"/>
                <w:b/>
                <w:bCs/>
                <w:sz w:val="28"/>
                <w:szCs w:val="28"/>
              </w:rPr>
            </w:pPr>
            <w:r>
              <w:rPr>
                <w:rFonts w:cs="FrankRuehl"/>
                <w:b/>
                <w:bCs/>
                <w:sz w:val="28"/>
                <w:szCs w:val="28"/>
                <w:rtl/>
              </w:rPr>
              <w:t>1. עו"ד עומר גדיש</w:t>
            </w:r>
          </w:p>
          <w:p w14:paraId="0890D724" w14:textId="77777777" w:rsidR="00827F11" w:rsidRDefault="00827F11">
            <w:pPr>
              <w:rPr>
                <w:rFonts w:cs="FrankRuehl"/>
                <w:b/>
                <w:bCs/>
                <w:sz w:val="28"/>
                <w:szCs w:val="28"/>
                <w:rtl/>
              </w:rPr>
            </w:pPr>
            <w:r>
              <w:rPr>
                <w:rFonts w:cs="FrankRuehl"/>
                <w:b/>
                <w:bCs/>
                <w:sz w:val="28"/>
                <w:szCs w:val="28"/>
                <w:rtl/>
              </w:rPr>
              <w:t>בתפקידו כמפרק עמותת איגוד טניס השולחן בישראל</w:t>
            </w:r>
          </w:p>
          <w:p w14:paraId="379A3368" w14:textId="77777777" w:rsidR="00827F11" w:rsidRDefault="00827F11">
            <w:pPr>
              <w:rPr>
                <w:rFonts w:cs="FrankRuehl"/>
                <w:b/>
                <w:bCs/>
                <w:sz w:val="28"/>
                <w:szCs w:val="28"/>
                <w:rtl/>
              </w:rPr>
            </w:pPr>
          </w:p>
          <w:p w14:paraId="31B2E085" w14:textId="77777777" w:rsidR="00827F11" w:rsidRDefault="00827F11">
            <w:pPr>
              <w:rPr>
                <w:rFonts w:cs="FrankRuehl"/>
                <w:b/>
                <w:bCs/>
                <w:sz w:val="28"/>
                <w:szCs w:val="28"/>
                <w:rtl/>
              </w:rPr>
            </w:pPr>
            <w:r>
              <w:rPr>
                <w:rFonts w:cs="FrankRuehl"/>
                <w:b/>
                <w:bCs/>
                <w:sz w:val="28"/>
                <w:szCs w:val="28"/>
                <w:rtl/>
              </w:rPr>
              <w:t>2. כונס הנכסים הרשמי</w:t>
            </w:r>
          </w:p>
          <w:p w14:paraId="365C0996" w14:textId="77777777" w:rsidR="00827F11" w:rsidRDefault="00827F11">
            <w:pPr>
              <w:rPr>
                <w:rFonts w:cs="FrankRuehl"/>
                <w:b/>
                <w:bCs/>
                <w:sz w:val="28"/>
                <w:szCs w:val="28"/>
              </w:rPr>
            </w:pPr>
            <w:r>
              <w:rPr>
                <w:rFonts w:cs="FrankRuehl"/>
                <w:b/>
                <w:bCs/>
                <w:sz w:val="28"/>
                <w:szCs w:val="28"/>
                <w:rtl/>
              </w:rPr>
              <w:t>ע"י ב"כ עו"ד אורי ולרשטיין</w:t>
            </w:r>
          </w:p>
        </w:tc>
        <w:tc>
          <w:tcPr>
            <w:tcW w:w="1361" w:type="dxa"/>
          </w:tcPr>
          <w:p w14:paraId="03E88CF9" w14:textId="77777777" w:rsidR="00827F11" w:rsidRDefault="00827F11">
            <w:pPr>
              <w:jc w:val="both"/>
              <w:rPr>
                <w:rFonts w:cs="FrankRuehl"/>
                <w:b/>
                <w:bCs/>
                <w:sz w:val="28"/>
                <w:szCs w:val="28"/>
                <w:u w:val="single"/>
              </w:rPr>
            </w:pPr>
          </w:p>
        </w:tc>
      </w:tr>
      <w:bookmarkEnd w:id="1"/>
    </w:tbl>
    <w:p w14:paraId="1CB171A8" w14:textId="77777777" w:rsidR="00827F11" w:rsidRDefault="00827F11">
      <w:pPr>
        <w:spacing w:line="360" w:lineRule="auto"/>
        <w:jc w:val="both"/>
        <w:divId w:val="1619486582"/>
        <w:rPr>
          <w:rFonts w:cs="FrankRuehl"/>
          <w:b/>
          <w:bCs/>
          <w:sz w:val="28"/>
          <w:szCs w:val="28"/>
          <w:rtl/>
        </w:rPr>
      </w:pPr>
    </w:p>
    <w:p w14:paraId="5E61F0CD" w14:textId="77777777" w:rsidR="00827F11" w:rsidRDefault="00827F11">
      <w:pPr>
        <w:pStyle w:val="4"/>
        <w:divId w:val="1619486582"/>
        <w:rPr>
          <w:rtl/>
        </w:rPr>
      </w:pPr>
      <w:bookmarkStart w:id="2" w:name="סוג_מסמך"/>
      <w:bookmarkEnd w:id="2"/>
      <w:r>
        <w:rPr>
          <w:rtl/>
        </w:rPr>
        <w:t>פסק דין</w:t>
      </w:r>
    </w:p>
    <w:p w14:paraId="6E5FE035" w14:textId="77777777" w:rsidR="00827F11" w:rsidRDefault="00827F11">
      <w:pPr>
        <w:spacing w:line="360" w:lineRule="auto"/>
        <w:jc w:val="both"/>
        <w:divId w:val="1619486582"/>
        <w:rPr>
          <w:rFonts w:cs="FrankRuehl"/>
          <w:sz w:val="28"/>
          <w:szCs w:val="28"/>
          <w:rtl/>
        </w:rPr>
      </w:pPr>
    </w:p>
    <w:p w14:paraId="6F293521" w14:textId="77777777" w:rsidR="00827F11" w:rsidRDefault="00827F11">
      <w:pPr>
        <w:spacing w:line="360" w:lineRule="auto"/>
        <w:jc w:val="both"/>
        <w:divId w:val="1619486582"/>
        <w:rPr>
          <w:rFonts w:ascii="Arial" w:hAnsi="Arial" w:cs="FrankRuehl"/>
          <w:sz w:val="28"/>
          <w:szCs w:val="28"/>
          <w:rtl/>
        </w:rPr>
      </w:pPr>
      <w:r>
        <w:rPr>
          <w:rFonts w:ascii="Arial" w:hAnsi="Arial" w:cs="FrankRuehl"/>
          <w:sz w:val="28"/>
          <w:szCs w:val="28"/>
          <w:rtl/>
        </w:rPr>
        <w:t xml:space="preserve">מונח בפני ערעורה של עמותת כדור האור, כנגד הכרעת המפרק שמונה לאיגוד טניס השולחן לדחות את תביעת חובה. תביעת החוב התבססה על הסכמים חתומים מהם עלה, לכאורה, כי המבקשת העניקה למשיבה שירותי ניהול, אך לא קיבלה את התמורה המוסכמת במשך תקופה של כ- 10 חודשים. </w:t>
      </w:r>
    </w:p>
    <w:p w14:paraId="1AE83823" w14:textId="77777777" w:rsidR="00827F11" w:rsidRDefault="00827F11">
      <w:pPr>
        <w:spacing w:line="360" w:lineRule="auto"/>
        <w:jc w:val="both"/>
        <w:divId w:val="1619486582"/>
        <w:rPr>
          <w:rFonts w:ascii="Arial" w:hAnsi="Arial" w:cs="FrankRuehl"/>
          <w:sz w:val="28"/>
          <w:szCs w:val="28"/>
          <w:rtl/>
        </w:rPr>
      </w:pPr>
      <w:r>
        <w:rPr>
          <w:rFonts w:ascii="Arial" w:hAnsi="Arial" w:cs="FrankRuehl"/>
          <w:sz w:val="28"/>
          <w:szCs w:val="28"/>
          <w:rtl/>
        </w:rPr>
        <w:t>המפרק דחה את תביעת החוב, הן על הסף – נוכח איחור בהגשתה, והן לגופה, וזאת כאשר הוא מעביר ביקורת חריפה על המערערת, וטוען למעשה כי הסכם הענקת השירותים, אשר במידה רבה עמדו בשני צדדים צדדים זהים, או למצער מקורבים, לא היה אלא "צינור" להעברת כספים שלא כדין לטובת בעלי עניין ששלטו במערערת. המבקשת, בערעורה, דוחה את הטענות דנן, וטוענת כי ביסוד הכרעת המפרק עומד "סיפור קונספירציה" שלא הוכח מעולם, ונסמך כולו על שמועות ותאוריות לא מבוססות.</w:t>
      </w:r>
    </w:p>
    <w:p w14:paraId="59BE6803" w14:textId="77777777" w:rsidR="00827F11" w:rsidRDefault="00827F11">
      <w:pPr>
        <w:spacing w:line="360" w:lineRule="auto"/>
        <w:jc w:val="both"/>
        <w:divId w:val="1619486582"/>
        <w:rPr>
          <w:rFonts w:ascii="Arial" w:hAnsi="Arial" w:cs="FrankRuehl"/>
          <w:sz w:val="28"/>
          <w:szCs w:val="28"/>
          <w:rtl/>
        </w:rPr>
      </w:pPr>
      <w:r>
        <w:rPr>
          <w:rFonts w:ascii="Arial" w:hAnsi="Arial" w:cs="FrankRuehl"/>
          <w:sz w:val="28"/>
          <w:szCs w:val="28"/>
          <w:rtl/>
        </w:rPr>
        <w:lastRenderedPageBreak/>
        <w:br/>
        <w:t>לאחר שעיינתי בעמדות הצדדים, ניתנת החלטתי זו.</w:t>
      </w:r>
    </w:p>
    <w:p w14:paraId="78A917FF" w14:textId="77777777" w:rsidR="00827F11" w:rsidRDefault="00827F11">
      <w:pPr>
        <w:spacing w:line="360" w:lineRule="auto"/>
        <w:jc w:val="both"/>
        <w:divId w:val="1619486582"/>
        <w:rPr>
          <w:rFonts w:ascii="Arial" w:hAnsi="Arial" w:cs="FrankRuehl"/>
          <w:sz w:val="28"/>
          <w:szCs w:val="28"/>
          <w:rtl/>
        </w:rPr>
      </w:pPr>
    </w:p>
    <w:p w14:paraId="0A0A9AD6" w14:textId="77777777" w:rsidR="00827F11" w:rsidRDefault="00827F11">
      <w:pPr>
        <w:numPr>
          <w:ilvl w:val="0"/>
          <w:numId w:val="2"/>
        </w:numPr>
        <w:spacing w:line="360" w:lineRule="auto"/>
        <w:ind w:left="720" w:hanging="720"/>
        <w:jc w:val="both"/>
        <w:divId w:val="1619486582"/>
        <w:rPr>
          <w:rFonts w:ascii="Arial" w:hAnsi="Arial" w:cs="FrankRuehl"/>
          <w:sz w:val="28"/>
          <w:szCs w:val="28"/>
          <w:rtl/>
        </w:rPr>
      </w:pPr>
      <w:r>
        <w:rPr>
          <w:rFonts w:ascii="Arial" w:hAnsi="Arial" w:cs="FrankRuehl"/>
          <w:sz w:val="28"/>
          <w:szCs w:val="28"/>
          <w:rtl/>
        </w:rPr>
        <w:t>אין חולק, כי המערערת הגישה את תביעת חובה באיחור של כ-18 ימים, וכל זאת כאשר:</w:t>
      </w:r>
      <w:r>
        <w:rPr>
          <w:rFonts w:ascii="Arial" w:hAnsi="Arial" w:cs="FrankRuehl"/>
          <w:sz w:val="28"/>
          <w:szCs w:val="28"/>
          <w:rtl/>
        </w:rPr>
        <w:br/>
      </w:r>
      <w:r>
        <w:rPr>
          <w:rFonts w:ascii="Arial" w:hAnsi="Arial" w:cs="FrankRuehl"/>
          <w:b/>
          <w:bCs/>
          <w:sz w:val="28"/>
          <w:szCs w:val="28"/>
          <w:u w:val="single"/>
          <w:rtl/>
        </w:rPr>
        <w:t>ראשית</w:t>
      </w:r>
      <w:r>
        <w:rPr>
          <w:rFonts w:ascii="Arial" w:hAnsi="Arial" w:cs="FrankRuehl"/>
          <w:sz w:val="28"/>
          <w:szCs w:val="28"/>
          <w:rtl/>
        </w:rPr>
        <w:t xml:space="preserve">, אין חולק כי </w:t>
      </w:r>
      <w:r>
        <w:rPr>
          <w:rFonts w:ascii="Arial" w:hAnsi="Arial" w:cs="FrankRuehl"/>
          <w:b/>
          <w:bCs/>
          <w:sz w:val="28"/>
          <w:szCs w:val="28"/>
          <w:u w:val="single"/>
          <w:rtl/>
        </w:rPr>
        <w:t>לא הגישה למעשה בקשה להארכת מועד להגשת תביעת חוב</w:t>
      </w:r>
      <w:r>
        <w:rPr>
          <w:rFonts w:ascii="Arial" w:hAnsi="Arial" w:cs="FrankRuehl"/>
          <w:sz w:val="28"/>
          <w:szCs w:val="28"/>
          <w:rtl/>
        </w:rPr>
        <w:t>, אלא עשתה זאת באיחור של חודשים רבים, וזאת חרף דרישת התקנות.</w:t>
      </w:r>
    </w:p>
    <w:p w14:paraId="53E2A755" w14:textId="77777777" w:rsidR="00827F11" w:rsidRDefault="00827F11">
      <w:pPr>
        <w:spacing w:line="360" w:lineRule="auto"/>
        <w:ind w:left="720"/>
        <w:jc w:val="both"/>
        <w:divId w:val="1619486582"/>
        <w:rPr>
          <w:rFonts w:ascii="Arial" w:hAnsi="Arial" w:cs="FrankRuehl"/>
          <w:sz w:val="28"/>
          <w:szCs w:val="28"/>
        </w:rPr>
      </w:pPr>
      <w:r>
        <w:rPr>
          <w:rFonts w:ascii="Arial" w:hAnsi="Arial" w:cs="FrankRuehl"/>
          <w:b/>
          <w:bCs/>
          <w:sz w:val="28"/>
          <w:szCs w:val="28"/>
          <w:u w:val="single"/>
          <w:rtl/>
        </w:rPr>
        <w:t>שנית</w:t>
      </w:r>
      <w:r>
        <w:rPr>
          <w:rFonts w:ascii="Arial" w:hAnsi="Arial" w:cs="FrankRuehl"/>
          <w:sz w:val="28"/>
          <w:szCs w:val="28"/>
          <w:rtl/>
        </w:rPr>
        <w:t xml:space="preserve">, אין חולק כי </w:t>
      </w:r>
      <w:r>
        <w:rPr>
          <w:rFonts w:ascii="Arial" w:hAnsi="Arial" w:cs="FrankRuehl"/>
          <w:b/>
          <w:bCs/>
          <w:sz w:val="28"/>
          <w:szCs w:val="28"/>
          <w:u w:val="single"/>
          <w:rtl/>
        </w:rPr>
        <w:t>המערערת ידעה היטב על הליכי הפירוק מראשיתם</w:t>
      </w:r>
      <w:r>
        <w:rPr>
          <w:rFonts w:ascii="Arial" w:hAnsi="Arial" w:cs="FrankRuehl"/>
          <w:sz w:val="28"/>
          <w:szCs w:val="28"/>
          <w:rtl/>
        </w:rPr>
        <w:t xml:space="preserve">, וזאת בניגוד גמור למקרים רבים שנדונו בהלכה הפסוקה, ואשר בהם נידון עניינו של נושה, שלא ידע בפועל על ההליכים, ועולה נגדו טענת "הידיעה הקונסטרוקטיבית". </w:t>
      </w:r>
    </w:p>
    <w:p w14:paraId="393A4C6F" w14:textId="77777777" w:rsidR="00827F11" w:rsidRDefault="00827F11">
      <w:pPr>
        <w:spacing w:line="360" w:lineRule="auto"/>
        <w:ind w:left="720" w:hanging="720"/>
        <w:jc w:val="both"/>
        <w:divId w:val="1619486582"/>
        <w:rPr>
          <w:rFonts w:ascii="Arial" w:hAnsi="Arial" w:cs="FrankRuehl"/>
          <w:sz w:val="28"/>
          <w:szCs w:val="28"/>
          <w:rtl/>
        </w:rPr>
      </w:pPr>
    </w:p>
    <w:p w14:paraId="0C930F07" w14:textId="77777777" w:rsidR="00827F11" w:rsidRDefault="00827F11">
      <w:pPr>
        <w:numPr>
          <w:ilvl w:val="0"/>
          <w:numId w:val="2"/>
        </w:numPr>
        <w:spacing w:line="360" w:lineRule="auto"/>
        <w:ind w:left="720" w:hanging="720"/>
        <w:jc w:val="both"/>
        <w:divId w:val="1619486582"/>
        <w:rPr>
          <w:rFonts w:ascii="Arial" w:hAnsi="Arial" w:cs="FrankRuehl"/>
          <w:sz w:val="28"/>
          <w:szCs w:val="28"/>
          <w:rtl/>
        </w:rPr>
      </w:pPr>
      <w:r>
        <w:rPr>
          <w:rFonts w:ascii="Arial" w:hAnsi="Arial" w:cs="FrankRuehl"/>
          <w:sz w:val="28"/>
          <w:szCs w:val="28"/>
          <w:rtl/>
        </w:rPr>
        <w:t xml:space="preserve">במצב זה, מן הראוי לבדוק, ראשית, את טעמי המבקשת העולים כנימוק (במאוחר) להארכת המועד להגשת תביעת חוב. בדיקת האמור לעיל, מעלה התנהלות דיונית תמוהה מצד המבקשת, אשר דומה כי "שינתה טעמיה" וניסתה את כוחה ב"עריכת מקצה שיפורים" בשלב הערעור. </w:t>
      </w:r>
    </w:p>
    <w:p w14:paraId="00B424B6" w14:textId="77777777" w:rsidR="00827F11" w:rsidRDefault="00827F11">
      <w:pPr>
        <w:spacing w:line="360" w:lineRule="auto"/>
        <w:ind w:left="720" w:hanging="720"/>
        <w:jc w:val="both"/>
        <w:divId w:val="1619486582"/>
        <w:rPr>
          <w:rFonts w:ascii="Arial" w:hAnsi="Arial" w:cs="FrankRuehl"/>
          <w:sz w:val="28"/>
          <w:szCs w:val="28"/>
        </w:rPr>
      </w:pPr>
      <w:r>
        <w:rPr>
          <w:rFonts w:ascii="Arial" w:hAnsi="Arial" w:cs="FrankRuehl"/>
          <w:sz w:val="28"/>
          <w:szCs w:val="28"/>
          <w:rtl/>
        </w:rPr>
        <w:tab/>
        <w:t xml:space="preserve">במה אמורים דברים? כאשר התדיינה המערערת אל מול המפרק, העלתה טענה כי מנהלה היה חולה בתקופה האמורה, טענה אשר </w:t>
      </w:r>
      <w:r>
        <w:rPr>
          <w:rFonts w:ascii="Arial" w:hAnsi="Arial" w:cs="FrankRuehl"/>
          <w:b/>
          <w:bCs/>
          <w:sz w:val="28"/>
          <w:szCs w:val="28"/>
          <w:u w:val="single"/>
          <w:rtl/>
        </w:rPr>
        <w:t>הופרכה כליל ברמה העובדתית</w:t>
      </w:r>
      <w:r>
        <w:rPr>
          <w:rFonts w:ascii="Arial" w:hAnsi="Arial" w:cs="FrankRuehl"/>
          <w:sz w:val="28"/>
          <w:szCs w:val="28"/>
          <w:rtl/>
        </w:rPr>
        <w:t xml:space="preserve"> (וזאת, בלא צורך להדרש לשאלת הנפקות המשפטית של הטיעון לקבלת הארכת מועד), באשר הוברר, כי תאריכי המחלה שצורפו כאסמכתאות, </w:t>
      </w:r>
      <w:r>
        <w:rPr>
          <w:rFonts w:ascii="Arial" w:hAnsi="Arial" w:cs="FrankRuehl"/>
          <w:b/>
          <w:bCs/>
          <w:sz w:val="28"/>
          <w:szCs w:val="28"/>
          <w:u w:val="single"/>
          <w:rtl/>
        </w:rPr>
        <w:t>לא תאמו את המועד הרלוונטי כלל ועיקר</w:t>
      </w:r>
      <w:r>
        <w:rPr>
          <w:rFonts w:ascii="Arial" w:hAnsi="Arial" w:cs="FrankRuehl"/>
          <w:sz w:val="28"/>
          <w:szCs w:val="28"/>
          <w:rtl/>
        </w:rPr>
        <w:t>.</w:t>
      </w:r>
    </w:p>
    <w:p w14:paraId="19F11131" w14:textId="77777777" w:rsidR="00827F11" w:rsidRDefault="00827F11">
      <w:pPr>
        <w:spacing w:line="360" w:lineRule="auto"/>
        <w:ind w:left="720"/>
        <w:jc w:val="both"/>
        <w:divId w:val="1619486582"/>
        <w:rPr>
          <w:rFonts w:ascii="Arial" w:hAnsi="Arial" w:cs="FrankRuehl"/>
          <w:sz w:val="28"/>
          <w:szCs w:val="28"/>
        </w:rPr>
      </w:pPr>
      <w:r>
        <w:rPr>
          <w:rFonts w:ascii="Arial" w:hAnsi="Arial" w:cs="FrankRuehl"/>
          <w:sz w:val="28"/>
          <w:szCs w:val="28"/>
          <w:rtl/>
        </w:rPr>
        <w:t xml:space="preserve">עתה, כאשר נפלה טענתה זו (ומכל מקום, אין היא חוזרת עליה כלל בערעורה, ונראה שנטשה אותה), מעלה המערערת טענה חדשה, </w:t>
      </w:r>
      <w:r>
        <w:rPr>
          <w:rFonts w:ascii="Arial" w:hAnsi="Arial" w:cs="FrankRuehl"/>
          <w:b/>
          <w:bCs/>
          <w:sz w:val="28"/>
          <w:szCs w:val="28"/>
          <w:u w:val="single"/>
          <w:rtl/>
        </w:rPr>
        <w:t>אשר לא בא זכרה בעת הגשת תביעת החוב</w:t>
      </w:r>
      <w:r>
        <w:rPr>
          <w:rFonts w:ascii="Arial" w:hAnsi="Arial" w:cs="FrankRuehl"/>
          <w:sz w:val="28"/>
          <w:szCs w:val="28"/>
          <w:rtl/>
        </w:rPr>
        <w:t>, ולפיה התכתבויות כאלו ואחרות שלה מול המפרק וגורמים אחרים "מהוות למעשה הגשת תביעת חוב".</w:t>
      </w:r>
    </w:p>
    <w:p w14:paraId="502D4BAF" w14:textId="77777777" w:rsidR="00827F11" w:rsidRDefault="00827F11">
      <w:pPr>
        <w:spacing w:line="360" w:lineRule="auto"/>
        <w:ind w:left="720"/>
        <w:jc w:val="both"/>
        <w:divId w:val="1619486582"/>
        <w:rPr>
          <w:rFonts w:ascii="Arial" w:hAnsi="Arial" w:cs="FrankRuehl"/>
          <w:sz w:val="28"/>
          <w:szCs w:val="28"/>
          <w:rtl/>
        </w:rPr>
      </w:pPr>
    </w:p>
    <w:p w14:paraId="74BD5778" w14:textId="77777777" w:rsidR="00827F11" w:rsidRDefault="00827F11">
      <w:pPr>
        <w:spacing w:line="360" w:lineRule="auto"/>
        <w:ind w:left="720"/>
        <w:jc w:val="both"/>
        <w:divId w:val="1619486582"/>
        <w:rPr>
          <w:rFonts w:ascii="Arial" w:hAnsi="Arial" w:cs="FrankRuehl"/>
          <w:sz w:val="28"/>
          <w:szCs w:val="28"/>
          <w:rtl/>
        </w:rPr>
      </w:pPr>
    </w:p>
    <w:p w14:paraId="1ED1857D" w14:textId="77777777" w:rsidR="00827F11" w:rsidRDefault="00827F11">
      <w:pPr>
        <w:numPr>
          <w:ilvl w:val="0"/>
          <w:numId w:val="2"/>
        </w:numPr>
        <w:spacing w:line="360" w:lineRule="auto"/>
        <w:ind w:left="720" w:hanging="720"/>
        <w:jc w:val="both"/>
        <w:divId w:val="1619486582"/>
        <w:rPr>
          <w:rFonts w:ascii="Arial" w:hAnsi="Arial" w:cs="FrankRuehl"/>
          <w:sz w:val="28"/>
          <w:szCs w:val="28"/>
        </w:rPr>
      </w:pPr>
      <w:r>
        <w:rPr>
          <w:rFonts w:ascii="Arial" w:hAnsi="Arial" w:cs="FrankRuehl"/>
          <w:sz w:val="28"/>
          <w:szCs w:val="28"/>
          <w:rtl/>
        </w:rPr>
        <w:t xml:space="preserve">לעניין זה אעיר תחילה, כי די בצורת התנהלות דיונית זו (אשר גובלת, ואני זהירה בלשוני, בחוסר תום-לב ובהתעלמות כמעט מופגנת מסדרי הדין), כדי להביא לדחיית טענתה החדשה של המערערת על הסף. אין צורך להכביר מילים, כי ערעור אינו מהווה "אכסניה" למקצי שיפורים, קרי, להעלאת טענות שלא בא זכרם בערכאה הראשונה (במקרה זה, המפרק בכובעו המעין-שיפוטי), וזאת למעט במקרים חריגים ובאישור. </w:t>
      </w:r>
      <w:r>
        <w:rPr>
          <w:rFonts w:ascii="Arial" w:hAnsi="Arial" w:cs="FrankRuehl"/>
          <w:sz w:val="28"/>
          <w:szCs w:val="28"/>
          <w:rtl/>
        </w:rPr>
        <w:lastRenderedPageBreak/>
        <w:t>נקל לראות, כי המערערת לא ביקשה וקל וחומר שלא קיבלה היתר להוספת טעמים לכתבי טענותיה.</w:t>
      </w:r>
    </w:p>
    <w:p w14:paraId="66FADFA7" w14:textId="77777777" w:rsidR="00827F11" w:rsidRDefault="00827F11">
      <w:pPr>
        <w:spacing w:line="360" w:lineRule="auto"/>
        <w:jc w:val="both"/>
        <w:divId w:val="1619486582"/>
        <w:rPr>
          <w:rFonts w:ascii="Arial" w:hAnsi="Arial" w:cs="FrankRuehl"/>
          <w:sz w:val="28"/>
          <w:szCs w:val="28"/>
        </w:rPr>
      </w:pPr>
    </w:p>
    <w:p w14:paraId="4163024E"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כך, ובדרך זו, שמטה למעשה המערערת במו פיה, והסתירות שבטענותיה, את הנימוקים שלה עצמה להארכת המועד, והפכה אותם לבלתי אמינים. </w:t>
      </w:r>
    </w:p>
    <w:p w14:paraId="0E5C2EC0" w14:textId="77777777" w:rsidR="00827F11" w:rsidRDefault="00827F11">
      <w:pPr>
        <w:spacing w:line="360" w:lineRule="auto"/>
        <w:ind w:left="720" w:hanging="720"/>
        <w:jc w:val="both"/>
        <w:divId w:val="1619486582"/>
        <w:rPr>
          <w:rFonts w:ascii="Arial" w:hAnsi="Arial" w:cs="FrankRuehl"/>
          <w:sz w:val="28"/>
          <w:szCs w:val="28"/>
        </w:rPr>
      </w:pPr>
    </w:p>
    <w:p w14:paraId="017A2903" w14:textId="77777777" w:rsidR="00827F11" w:rsidRDefault="00827F11">
      <w:pPr>
        <w:numPr>
          <w:ilvl w:val="0"/>
          <w:numId w:val="2"/>
        </w:numPr>
        <w:spacing w:line="360" w:lineRule="auto"/>
        <w:ind w:left="720" w:hanging="720"/>
        <w:jc w:val="both"/>
        <w:divId w:val="1619486582"/>
        <w:rPr>
          <w:rFonts w:ascii="Arial" w:hAnsi="Arial" w:cs="FrankRuehl"/>
          <w:sz w:val="28"/>
          <w:szCs w:val="28"/>
        </w:rPr>
      </w:pPr>
      <w:r>
        <w:rPr>
          <w:rFonts w:ascii="Arial" w:hAnsi="Arial" w:cs="FrankRuehl"/>
          <w:sz w:val="28"/>
          <w:szCs w:val="28"/>
          <w:rtl/>
        </w:rPr>
        <w:t xml:space="preserve">לא זאת, אלא אף זאת; המקרה הנוכחי שונה עד מאד ממקרים אחרים אשר נדונו בפסיקה, ובמקצתם הוחלט לנהוג באורח מקל עם נושים כאלו ואחרים, אשר טענו לחבות כלפיהם בדרך שונה מן הקבוע בתקנות, ולהחשיב את הבקשה, אף כי לא נערכה באורח הקבוע בדין ל"תביעת חוב" – באורח אשר יאפשר להם שלא להחשב כמי שהגישו את תביעתם באיחור. </w:t>
      </w:r>
    </w:p>
    <w:p w14:paraId="4684007A" w14:textId="77777777" w:rsidR="00827F11" w:rsidRDefault="00827F11">
      <w:pPr>
        <w:spacing w:line="360" w:lineRule="auto"/>
        <w:ind w:left="720" w:hanging="720"/>
        <w:jc w:val="both"/>
        <w:divId w:val="1619486582"/>
        <w:rPr>
          <w:rFonts w:ascii="Arial" w:hAnsi="Arial" w:cs="FrankRuehl"/>
          <w:sz w:val="28"/>
          <w:szCs w:val="28"/>
        </w:rPr>
      </w:pPr>
      <w:r>
        <w:rPr>
          <w:rFonts w:ascii="Arial" w:hAnsi="Arial" w:cs="FrankRuehl"/>
          <w:sz w:val="28"/>
          <w:szCs w:val="28"/>
          <w:rtl/>
        </w:rPr>
        <w:tab/>
        <w:t xml:space="preserve">אלא, שהמערערת שבפני – לא זו בלבד, כי נדרשת מידה רבה של יצירתיות בכדי לכנות את התכתובת עליה היא מסתמכת "תביעת חוב", אלא, וזה העיקר לטעמי – אינה אדם פרטי או גוף קטן וחסר ידע משפטי, אלא גוף מאורגן היטב, שהיה סמוך אל האיגוד שבפירוק, והכיר הכר-היטב את מצבו ואת ההליכים המתנהלים בעניינו. </w:t>
      </w:r>
    </w:p>
    <w:p w14:paraId="51131E7D" w14:textId="77777777" w:rsidR="00827F11" w:rsidRDefault="00827F11">
      <w:pPr>
        <w:spacing w:line="360" w:lineRule="auto"/>
        <w:ind w:left="720" w:hanging="720"/>
        <w:jc w:val="both"/>
        <w:divId w:val="1619486582"/>
        <w:rPr>
          <w:rFonts w:ascii="Arial" w:hAnsi="Arial" w:cs="FrankRuehl"/>
          <w:sz w:val="28"/>
          <w:szCs w:val="28"/>
        </w:rPr>
      </w:pPr>
    </w:p>
    <w:p w14:paraId="6585825E" w14:textId="77777777" w:rsidR="00827F11" w:rsidRDefault="00827F11">
      <w:pPr>
        <w:spacing w:line="360" w:lineRule="auto"/>
        <w:ind w:left="720"/>
        <w:jc w:val="both"/>
        <w:divId w:val="1619486582"/>
        <w:rPr>
          <w:rFonts w:ascii="Arial" w:hAnsi="Arial" w:cs="FrankRuehl"/>
          <w:sz w:val="28"/>
          <w:szCs w:val="28"/>
          <w:rtl/>
        </w:rPr>
      </w:pPr>
    </w:p>
    <w:p w14:paraId="4DE72BA3"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יתר על כן, חשוב לציין כי המקרה שבפני שונה מאד מפסקי הדין שהוצגו בכתבי הטענות, ובעיקר מאותם פסקי דין "מקלים", אשר אחת מהנקודות המרכזיות עליהן נסמכו היתה </w:t>
      </w:r>
      <w:r>
        <w:rPr>
          <w:rFonts w:ascii="Arial" w:hAnsi="Arial" w:cs="FrankRuehl"/>
          <w:b/>
          <w:bCs/>
          <w:sz w:val="28"/>
          <w:szCs w:val="28"/>
          <w:u w:val="single"/>
          <w:rtl/>
        </w:rPr>
        <w:t>כי בפועל לא קודם תיק חדלות הפרעון במידה כזו, כי יש בקבלת תביעת החוב המאוחרת בכדי לפגוע בנושים האחרים</w:t>
      </w:r>
      <w:r>
        <w:rPr>
          <w:rFonts w:ascii="Arial" w:hAnsi="Arial" w:cs="FrankRuehl"/>
          <w:sz w:val="28"/>
          <w:szCs w:val="28"/>
          <w:rtl/>
        </w:rPr>
        <w:t xml:space="preserve">. לא כן בנסיבות המקרה דנן, כאשר בפועל </w:t>
      </w:r>
      <w:r>
        <w:rPr>
          <w:rFonts w:ascii="Arial" w:hAnsi="Arial" w:cs="FrankRuehl"/>
          <w:b/>
          <w:bCs/>
          <w:sz w:val="28"/>
          <w:szCs w:val="28"/>
          <w:u w:val="single"/>
          <w:rtl/>
        </w:rPr>
        <w:t>כבר נידון ואושר הסדר נושים, אשר נסמך על שיעור דיבינד מוסכם לנושים הרגילים</w:t>
      </w:r>
      <w:r>
        <w:rPr>
          <w:rFonts w:ascii="Arial" w:hAnsi="Arial" w:cs="FrankRuehl"/>
          <w:sz w:val="28"/>
          <w:szCs w:val="28"/>
          <w:rtl/>
        </w:rPr>
        <w:t xml:space="preserve">. </w:t>
      </w:r>
    </w:p>
    <w:p w14:paraId="3881DDBD"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נקל לראות, כי אישור בדיעבד של תביעת החוב שבפני, תהפוך את הסדר הנושים על פיו </w:t>
      </w:r>
      <w:r>
        <w:rPr>
          <w:rFonts w:ascii="Arial" w:hAnsi="Arial" w:cs="FrankRuehl"/>
          <w:b/>
          <w:bCs/>
          <w:sz w:val="28"/>
          <w:szCs w:val="28"/>
          <w:u w:val="single"/>
          <w:rtl/>
        </w:rPr>
        <w:t>ותפגע מהותית בנושים שהסתמכו עליו</w:t>
      </w:r>
      <w:r>
        <w:rPr>
          <w:rFonts w:ascii="Arial" w:hAnsi="Arial" w:cs="FrankRuehl"/>
          <w:sz w:val="28"/>
          <w:szCs w:val="28"/>
          <w:rtl/>
        </w:rPr>
        <w:t xml:space="preserve">, כל זאת במקום כי "חטאה" של המערערת אינו נסמך על הכלל הנוקשה של "ידיעה קונסטרוקטיבית", אלא על מחדליו של נושה מעורב ובעל ידע, אשר </w:t>
      </w:r>
      <w:r>
        <w:rPr>
          <w:rFonts w:ascii="Arial" w:hAnsi="Arial" w:cs="FrankRuehl"/>
          <w:b/>
          <w:bCs/>
          <w:sz w:val="28"/>
          <w:szCs w:val="28"/>
          <w:u w:val="single"/>
          <w:rtl/>
        </w:rPr>
        <w:t>ידע בפועל מכתחילה, והיה מעורב כל העת בענייני האיגוד שבפירוק</w:t>
      </w:r>
      <w:r>
        <w:rPr>
          <w:rFonts w:ascii="Arial" w:hAnsi="Arial" w:cs="FrankRuehl"/>
          <w:sz w:val="28"/>
          <w:szCs w:val="28"/>
          <w:rtl/>
        </w:rPr>
        <w:t xml:space="preserve">. </w:t>
      </w:r>
    </w:p>
    <w:p w14:paraId="6924671C" w14:textId="77777777" w:rsidR="00827F11" w:rsidRDefault="00827F11">
      <w:pPr>
        <w:spacing w:line="360" w:lineRule="auto"/>
        <w:ind w:left="720" w:hanging="720"/>
        <w:jc w:val="both"/>
        <w:divId w:val="1619486582"/>
        <w:rPr>
          <w:rFonts w:ascii="Arial" w:hAnsi="Arial" w:cs="FrankRuehl"/>
          <w:sz w:val="28"/>
          <w:szCs w:val="28"/>
          <w:rtl/>
        </w:rPr>
      </w:pPr>
      <w:r>
        <w:rPr>
          <w:rFonts w:ascii="Arial" w:hAnsi="Arial" w:cs="FrankRuehl"/>
          <w:sz w:val="28"/>
          <w:szCs w:val="28"/>
          <w:rtl/>
        </w:rPr>
        <w:br/>
        <w:t xml:space="preserve">סוף דבר; אף אם היה הדין הנסמך על סעיף 71(ב) לפקודת פשיטת הרגל "ליברלי" בהרבה ממצבו דהיום, בכל הנוגע להארכות מועד להגשת תביעות באיחור, </w:t>
      </w:r>
      <w:r>
        <w:rPr>
          <w:rFonts w:ascii="Arial" w:hAnsi="Arial" w:cs="FrankRuehl"/>
          <w:b/>
          <w:bCs/>
          <w:sz w:val="28"/>
          <w:szCs w:val="28"/>
          <w:u w:val="single"/>
          <w:rtl/>
        </w:rPr>
        <w:t xml:space="preserve">הרי שאף </w:t>
      </w:r>
      <w:r>
        <w:rPr>
          <w:rFonts w:ascii="Arial" w:hAnsi="Arial" w:cs="FrankRuehl"/>
          <w:b/>
          <w:bCs/>
          <w:sz w:val="28"/>
          <w:szCs w:val="28"/>
          <w:u w:val="single"/>
          <w:rtl/>
        </w:rPr>
        <w:lastRenderedPageBreak/>
        <w:t>במצב זה, המקרה שבפני הינו מקרה מובהק שבו אין ליתן הארכת מועד</w:t>
      </w:r>
      <w:r>
        <w:rPr>
          <w:rFonts w:ascii="Arial" w:hAnsi="Arial" w:cs="FrankRuehl"/>
          <w:sz w:val="28"/>
          <w:szCs w:val="28"/>
          <w:rtl/>
        </w:rPr>
        <w:t>. פסיקה אחרת, בנסיבותיו של מקרה זה, לא היתה אלא מתן "פרס" למערערת על מחדליה, ועל התעלמותה מסדרי הדין.</w:t>
      </w:r>
    </w:p>
    <w:p w14:paraId="34949A01" w14:textId="77777777" w:rsidR="00827F11" w:rsidRDefault="00827F11">
      <w:pPr>
        <w:spacing w:line="360" w:lineRule="auto"/>
        <w:ind w:left="720" w:hanging="720"/>
        <w:jc w:val="both"/>
        <w:divId w:val="1619486582"/>
        <w:rPr>
          <w:rFonts w:ascii="Arial" w:hAnsi="Arial" w:cs="FrankRuehl"/>
          <w:sz w:val="28"/>
          <w:szCs w:val="28"/>
          <w:rtl/>
        </w:rPr>
      </w:pPr>
    </w:p>
    <w:p w14:paraId="43E4E35E" w14:textId="77777777" w:rsidR="00827F11" w:rsidRDefault="00827F11">
      <w:pPr>
        <w:numPr>
          <w:ilvl w:val="0"/>
          <w:numId w:val="2"/>
        </w:numPr>
        <w:spacing w:line="360" w:lineRule="auto"/>
        <w:ind w:left="720" w:hanging="720"/>
        <w:jc w:val="both"/>
        <w:divId w:val="1619486582"/>
        <w:rPr>
          <w:rFonts w:ascii="Arial" w:hAnsi="Arial" w:cs="FrankRuehl"/>
          <w:sz w:val="28"/>
          <w:szCs w:val="28"/>
        </w:rPr>
      </w:pPr>
      <w:r>
        <w:rPr>
          <w:rFonts w:ascii="Arial" w:hAnsi="Arial" w:cs="FrankRuehl"/>
          <w:sz w:val="28"/>
          <w:szCs w:val="28"/>
          <w:rtl/>
        </w:rPr>
        <w:t>די בכך, למעשה, בכדי לדחות את הערעור, אלא שפטור בלא כלום אי אפשי, ומן הראוי לציין, כי אף אם היתה המערערת מצליחה לצלוח את המשוכה הדיונית, הרי שדין ערעורה היה להדחות, וזאת אף מן הטעם המהותי.</w:t>
      </w:r>
    </w:p>
    <w:p w14:paraId="3EF3602B" w14:textId="77777777" w:rsidR="00827F11" w:rsidRDefault="00827F11">
      <w:pPr>
        <w:spacing w:line="360" w:lineRule="auto"/>
        <w:ind w:left="720"/>
        <w:jc w:val="both"/>
        <w:divId w:val="1619486582"/>
        <w:rPr>
          <w:rFonts w:ascii="Arial" w:hAnsi="Arial" w:cs="FrankRuehl"/>
          <w:sz w:val="28"/>
          <w:szCs w:val="28"/>
        </w:rPr>
      </w:pPr>
      <w:r>
        <w:rPr>
          <w:rFonts w:ascii="Arial" w:hAnsi="Arial" w:cs="FrankRuehl"/>
          <w:sz w:val="28"/>
          <w:szCs w:val="28"/>
          <w:rtl/>
        </w:rPr>
        <w:t xml:space="preserve">אבהיר דברי; לצורך הדיון, ובכדי לסבר את אוזנה של המערערת, אניח לטובתה כי המפרק לא דק פורתא, בכל האמור בהרמת נטל ההוכחה המוגבר הדרוש לצורך הוכחת "תיאוריית הקונספירציה", כפי שהיא מכנה זאת בכתבי טענותיה. אלא שלמעשה, אין המפרק נזקק לאותה "תאוריה" כלל ועיקר, כדי לדחות את תביעת החוב. </w:t>
      </w:r>
    </w:p>
    <w:p w14:paraId="19BD355A"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אין לי אלא להזכיר בקצרה, את אשר נאמר בהרחבה רבה, בפסק הדין בעניין פש"ר 2347/99 בש"א 29582/00 מוריאנו נ' מס: נטל ההוכחה בכל האמור בהגשת תביעת חוב, הינו </w:t>
      </w:r>
      <w:r>
        <w:rPr>
          <w:rFonts w:ascii="Arial" w:hAnsi="Arial" w:cs="FrankRuehl"/>
          <w:b/>
          <w:bCs/>
          <w:sz w:val="28"/>
          <w:szCs w:val="28"/>
          <w:u w:val="single"/>
          <w:rtl/>
        </w:rPr>
        <w:t>תמיד על הנושה</w:t>
      </w:r>
      <w:r>
        <w:rPr>
          <w:rFonts w:ascii="Arial" w:hAnsi="Arial" w:cs="FrankRuehl"/>
          <w:sz w:val="28"/>
          <w:szCs w:val="28"/>
          <w:rtl/>
        </w:rPr>
        <w:t xml:space="preserve">, שהוא בבחינת "המוציא מחברו". חלק אינטגרלי מכך, הינו החובה לספק, </w:t>
      </w:r>
      <w:r>
        <w:rPr>
          <w:rFonts w:ascii="Arial" w:hAnsi="Arial" w:cs="FrankRuehl"/>
          <w:b/>
          <w:bCs/>
          <w:sz w:val="28"/>
          <w:szCs w:val="28"/>
          <w:u w:val="single"/>
          <w:rtl/>
        </w:rPr>
        <w:t>בזמן אמת ובאורח מלא</w:t>
      </w:r>
      <w:r>
        <w:rPr>
          <w:rFonts w:ascii="Arial" w:hAnsi="Arial" w:cs="FrankRuehl"/>
          <w:b/>
          <w:bCs/>
          <w:sz w:val="28"/>
          <w:szCs w:val="28"/>
          <w:rtl/>
        </w:rPr>
        <w:t xml:space="preserve">, </w:t>
      </w:r>
      <w:r>
        <w:rPr>
          <w:rFonts w:ascii="Arial" w:hAnsi="Arial" w:cs="FrankRuehl"/>
          <w:b/>
          <w:bCs/>
          <w:sz w:val="28"/>
          <w:szCs w:val="28"/>
          <w:u w:val="single"/>
          <w:rtl/>
        </w:rPr>
        <w:t>את כל האסמכתאות התומכות בתביעת החוב</w:t>
      </w:r>
      <w:r>
        <w:rPr>
          <w:rFonts w:ascii="Arial" w:hAnsi="Arial" w:cs="FrankRuehl"/>
          <w:sz w:val="28"/>
          <w:szCs w:val="28"/>
          <w:rtl/>
        </w:rPr>
        <w:t xml:space="preserve">. מכח קל וחומר, אין לנושה זכות מוקנית כי בעל התפקיד בכובעו המעין-שיפוטי "ינחה אותו" בכל הנוגע למסמכים. </w:t>
      </w:r>
    </w:p>
    <w:p w14:paraId="0AB48E79" w14:textId="77777777" w:rsidR="00827F11" w:rsidRDefault="00827F11">
      <w:pPr>
        <w:spacing w:line="360" w:lineRule="auto"/>
        <w:ind w:left="720"/>
        <w:jc w:val="both"/>
        <w:divId w:val="1619486582"/>
        <w:rPr>
          <w:rFonts w:ascii="Arial" w:hAnsi="Arial" w:cs="FrankRuehl"/>
          <w:sz w:val="28"/>
          <w:szCs w:val="28"/>
          <w:rtl/>
        </w:rPr>
      </w:pPr>
    </w:p>
    <w:p w14:paraId="4BCA6417"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זאת ועוד; גם בעניין מוריאנו, עלתה טענה דומה כי "לא הוכחה קונספירציה" בין הנושה שתביעתו נדחתה לבין החייב. אי לכך, אין לי אלא לחזור על הרציונל שהובהר שם, כי אין צורך בהוכחה שכזו כדי לדחות תביעת חוב, </w:t>
      </w:r>
      <w:r>
        <w:rPr>
          <w:rFonts w:ascii="Arial" w:hAnsi="Arial" w:cs="FrankRuehl"/>
          <w:b/>
          <w:bCs/>
          <w:sz w:val="28"/>
          <w:szCs w:val="28"/>
          <w:u w:val="single"/>
          <w:rtl/>
        </w:rPr>
        <w:t>די בכך כי הנושה לא הצליח להוכיח את תביעתו לפי מאזן ההסתברות הנהוג במשפט אזרחי</w:t>
      </w:r>
      <w:r>
        <w:rPr>
          <w:rFonts w:ascii="Arial" w:hAnsi="Arial" w:cs="FrankRuehl"/>
          <w:sz w:val="28"/>
          <w:szCs w:val="28"/>
          <w:rtl/>
        </w:rPr>
        <w:t>. זאת, אף אם בשולי הדברים, הוא "מצליח" ליטוע אצל המפרק רושם שלילי וחשדות למעשים לא כשרים: אין בכך, כדי להפוך את הוכחת החוב לתיק פלילי או מעין-פלילי העוסק בהוכחת מרמה, קל וחומר שלא להפוך את נטל ההוכחה.</w:t>
      </w:r>
    </w:p>
    <w:p w14:paraId="2E6E9FAC" w14:textId="77777777" w:rsidR="00827F11" w:rsidRDefault="00827F11">
      <w:pPr>
        <w:spacing w:line="360" w:lineRule="auto"/>
        <w:ind w:left="720" w:hanging="720"/>
        <w:jc w:val="both"/>
        <w:divId w:val="1619486582"/>
        <w:rPr>
          <w:rFonts w:ascii="Arial" w:hAnsi="Arial" w:cs="FrankRuehl"/>
          <w:sz w:val="28"/>
          <w:szCs w:val="28"/>
          <w:rtl/>
        </w:rPr>
      </w:pPr>
    </w:p>
    <w:p w14:paraId="64F050BD" w14:textId="77777777" w:rsidR="00827F11" w:rsidRDefault="00827F11">
      <w:pPr>
        <w:numPr>
          <w:ilvl w:val="0"/>
          <w:numId w:val="2"/>
        </w:numPr>
        <w:spacing w:line="360" w:lineRule="auto"/>
        <w:ind w:left="720" w:hanging="720"/>
        <w:jc w:val="both"/>
        <w:divId w:val="1619486582"/>
        <w:rPr>
          <w:rFonts w:ascii="Arial" w:hAnsi="Arial" w:cs="FrankRuehl"/>
          <w:sz w:val="28"/>
          <w:szCs w:val="28"/>
        </w:rPr>
      </w:pPr>
      <w:r>
        <w:rPr>
          <w:rFonts w:ascii="Arial" w:hAnsi="Arial" w:cs="FrankRuehl"/>
          <w:sz w:val="28"/>
          <w:szCs w:val="28"/>
          <w:rtl/>
        </w:rPr>
        <w:t xml:space="preserve">בנסיבות המקרה, די אם אקבע, כי צדק המפרק בכך, כי התשתית הראייתית עליה נסמכה תביעת החוב היתה לקויה וחסרה, וכי אמנם הובאו החוזים בין הצדדים, אולם </w:t>
      </w:r>
      <w:r>
        <w:rPr>
          <w:rFonts w:ascii="Arial" w:hAnsi="Arial" w:cs="FrankRuehl"/>
          <w:b/>
          <w:bCs/>
          <w:sz w:val="28"/>
          <w:szCs w:val="28"/>
          <w:u w:val="single"/>
          <w:rtl/>
        </w:rPr>
        <w:t>לא הובאו מסמכים יסודיים, אשר המערערת, לו ניהלה עסקיה כדין, היתה יכולה להשיגם על נקלה</w:t>
      </w:r>
      <w:r>
        <w:rPr>
          <w:rFonts w:ascii="Arial" w:hAnsi="Arial" w:cs="FrankRuehl"/>
          <w:sz w:val="28"/>
          <w:szCs w:val="28"/>
          <w:rtl/>
        </w:rPr>
        <w:t xml:space="preserve">. כך למשל, מסמכי ניהול חשבונות והוכחות פוזיטיביות כי שילמה </w:t>
      </w:r>
      <w:r>
        <w:rPr>
          <w:rFonts w:ascii="Arial" w:hAnsi="Arial" w:cs="FrankRuehl"/>
          <w:sz w:val="28"/>
          <w:szCs w:val="28"/>
          <w:rtl/>
        </w:rPr>
        <w:lastRenderedPageBreak/>
        <w:t xml:space="preserve">שכר לאנשים שטענה כי העסיקה למען ביצוע החוזה, ומסמכים אחרים הקשורים ללב-ליבה של ההוכחה, כי החוזה בוצע הלכה למעשה. </w:t>
      </w:r>
    </w:p>
    <w:p w14:paraId="725658E5" w14:textId="77777777" w:rsidR="00827F11" w:rsidRDefault="00827F11">
      <w:pPr>
        <w:spacing w:line="360" w:lineRule="auto"/>
        <w:jc w:val="both"/>
        <w:divId w:val="1619486582"/>
        <w:rPr>
          <w:rFonts w:ascii="Arial" w:hAnsi="Arial" w:cs="FrankRuehl"/>
          <w:sz w:val="28"/>
          <w:szCs w:val="28"/>
        </w:rPr>
      </w:pPr>
    </w:p>
    <w:p w14:paraId="759D3B28" w14:textId="77777777" w:rsidR="00827F11" w:rsidRDefault="00827F11">
      <w:pPr>
        <w:spacing w:line="360" w:lineRule="auto"/>
        <w:ind w:left="720"/>
        <w:jc w:val="both"/>
        <w:divId w:val="1619486582"/>
        <w:rPr>
          <w:rFonts w:ascii="Arial" w:hAnsi="Arial" w:cs="FrankRuehl"/>
          <w:sz w:val="28"/>
          <w:szCs w:val="28"/>
        </w:rPr>
      </w:pPr>
      <w:r>
        <w:rPr>
          <w:rFonts w:ascii="Arial" w:hAnsi="Arial" w:cs="FrankRuehl"/>
          <w:sz w:val="28"/>
          <w:szCs w:val="28"/>
          <w:rtl/>
        </w:rPr>
        <w:t xml:space="preserve">לא זאת, אלא אף זאת; כאשר ביקש המפרק את המסמכים דנן (ואף זאת, לפנים משורת הדין), נענה בסופו של דבר בתגובה כי "המסמכים אינם קשורים לאיגוד, ואין המבקשת רואה צורך בהמצאתם"; דומה, כי בתשובה זו, אשר קשה להמנע מן הרושם כי הולמת את התנהלותה הדיונית של המערערת באורח כללי, חרצה היא עצמה, במו-ידיה את גורל תביעתה. אין כל צורך להכביר מילים על הכללים הבסיסיים בדיני ראיות, לפיהם כאשר נמנע צד מהבאת ראיה משמעותית המצויה בהישג ידו, עולה חזקה כי לו הובאה, היתה פועלת לרעתו. </w:t>
      </w:r>
    </w:p>
    <w:p w14:paraId="2BF35203"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אוסיף ואעיר, כי המצב אינו משתנה נוכח המסמכים הרבים שהגישה המערערת (ואף אותם </w:t>
      </w:r>
      <w:r>
        <w:rPr>
          <w:rFonts w:ascii="Arial" w:hAnsi="Arial" w:cs="FrankRuehl"/>
          <w:b/>
          <w:bCs/>
          <w:sz w:val="28"/>
          <w:szCs w:val="28"/>
          <w:u w:val="single"/>
          <w:rtl/>
        </w:rPr>
        <w:t>צירפה לראשונה בשלב הערעור</w:t>
      </w:r>
      <w:r>
        <w:rPr>
          <w:rFonts w:ascii="Arial" w:hAnsi="Arial" w:cs="FrankRuehl"/>
          <w:sz w:val="28"/>
          <w:szCs w:val="28"/>
          <w:rtl/>
        </w:rPr>
        <w:t xml:space="preserve">, ללא קבלת היתר ושלא כדין), באשר אף הם אינם כוללים את אותם פריטים בסיסיים, אשר יכולים היו לעמוד בכלל "הראיה הטובה ביותר". קשה להמנע מן המחשבה, כי התנהלות זו מצטרפת לתמונה הכללית בכל הנוגע להתנהלות המבקשת, ואך מחזקת את התחושה הבלתי נוחה העולה מכל האמור במעשיה ומחדליה בכל הנוגע לתביעת החוב. </w:t>
      </w:r>
    </w:p>
    <w:p w14:paraId="309E06E5" w14:textId="77777777" w:rsidR="00827F11" w:rsidRDefault="00827F11">
      <w:pPr>
        <w:spacing w:line="360" w:lineRule="auto"/>
        <w:ind w:left="720" w:hanging="720"/>
        <w:jc w:val="both"/>
        <w:divId w:val="1619486582"/>
        <w:rPr>
          <w:rFonts w:ascii="Arial" w:hAnsi="Arial" w:cs="FrankRuehl"/>
          <w:sz w:val="28"/>
          <w:szCs w:val="28"/>
          <w:rtl/>
        </w:rPr>
      </w:pPr>
    </w:p>
    <w:p w14:paraId="397B55CF" w14:textId="77777777" w:rsidR="00827F11" w:rsidRDefault="00827F11">
      <w:pPr>
        <w:numPr>
          <w:ilvl w:val="0"/>
          <w:numId w:val="2"/>
        </w:numPr>
        <w:spacing w:line="360" w:lineRule="auto"/>
        <w:ind w:left="720" w:hanging="720"/>
        <w:jc w:val="both"/>
        <w:divId w:val="1619486582"/>
        <w:rPr>
          <w:rFonts w:ascii="Arial" w:hAnsi="Arial" w:cs="FrankRuehl"/>
          <w:sz w:val="28"/>
          <w:szCs w:val="28"/>
        </w:rPr>
      </w:pPr>
      <w:r>
        <w:rPr>
          <w:rFonts w:ascii="Arial" w:hAnsi="Arial" w:cs="FrankRuehl"/>
          <w:sz w:val="28"/>
          <w:szCs w:val="28"/>
          <w:rtl/>
        </w:rPr>
        <w:t xml:space="preserve">מכל האמור לעיל עולה, כי קביעתו של המפרק – שהינה בליבה קביעה עובדתית-ראייתית – כי המערערת לא עמדה בנטל, הינה קביעה מבוססת שאין מקום כי ערכאת הערעור תתערב בה. </w:t>
      </w:r>
    </w:p>
    <w:p w14:paraId="4B97BF24" w14:textId="77777777" w:rsidR="00827F11" w:rsidRDefault="00827F11">
      <w:pPr>
        <w:spacing w:line="360" w:lineRule="auto"/>
        <w:ind w:left="720" w:hanging="720"/>
        <w:jc w:val="both"/>
        <w:divId w:val="1619486582"/>
        <w:rPr>
          <w:rFonts w:ascii="Arial" w:hAnsi="Arial" w:cs="FrankRuehl"/>
          <w:sz w:val="28"/>
          <w:szCs w:val="28"/>
        </w:rPr>
      </w:pPr>
      <w:r>
        <w:rPr>
          <w:rFonts w:ascii="Arial" w:hAnsi="Arial" w:cs="FrankRuehl"/>
          <w:sz w:val="28"/>
          <w:szCs w:val="28"/>
          <w:rtl/>
        </w:rPr>
        <w:tab/>
        <w:t xml:space="preserve">בשולי נקודה זו, מן הראוי להעיר, כי המערערת אף לא דקה פורתא בכל האמור בכללים ל"הצצה מעבר לפרגוד" של פסקי דין שניתנו ערב הפירוק. אמנם, נכון הוא כי אך לעיתים נדירות, תתאפשר "הצצה מעבר לפרגוד" של </w:t>
      </w:r>
      <w:r>
        <w:rPr>
          <w:rFonts w:ascii="Arial" w:hAnsi="Arial" w:cs="FrankRuehl"/>
          <w:b/>
          <w:bCs/>
          <w:sz w:val="28"/>
          <w:szCs w:val="28"/>
          <w:u w:val="single"/>
          <w:rtl/>
        </w:rPr>
        <w:t>פסק דין שניתן בעקבות הליך שיפוטי מלא ותקין, בו זכו שני הצדדים ליומם בבית המשפט וטענו את טענותיהם</w:t>
      </w:r>
      <w:r>
        <w:rPr>
          <w:rFonts w:ascii="Arial" w:hAnsi="Arial" w:cs="FrankRuehl"/>
          <w:sz w:val="28"/>
          <w:szCs w:val="28"/>
          <w:rtl/>
        </w:rPr>
        <w:t xml:space="preserve">. אלא, שנסיבות המקרה שונות לחלוטין – כאן, עסקינן בגוף שמצבו הכלכלי בכי-רע, אשר </w:t>
      </w:r>
      <w:r>
        <w:rPr>
          <w:rFonts w:ascii="Arial" w:hAnsi="Arial" w:cs="FrankRuehl"/>
          <w:b/>
          <w:bCs/>
          <w:sz w:val="28"/>
          <w:szCs w:val="28"/>
          <w:u w:val="single"/>
          <w:rtl/>
        </w:rPr>
        <w:t>הודה בנכונות תביעה</w:t>
      </w:r>
      <w:r>
        <w:rPr>
          <w:rFonts w:ascii="Arial" w:hAnsi="Arial" w:cs="FrankRuehl"/>
          <w:sz w:val="28"/>
          <w:szCs w:val="28"/>
          <w:rtl/>
        </w:rPr>
        <w:t xml:space="preserve"> שהוגשה נגדו על-ידי גוף מקורב אליו, אשר בניהולו מצויים אנשים בעלי קשרים בהנהלת האיגוד, שהיו (למצער) חברים בהנהלה זו עצמה בעבר הלא רחוק. עניין לנו, אם כן, במקרה מובהק המצדיק "הצצה מעבר לפרגוד". </w:t>
      </w:r>
    </w:p>
    <w:p w14:paraId="178C92DC" w14:textId="77777777" w:rsidR="00827F11" w:rsidRDefault="00827F11">
      <w:pPr>
        <w:spacing w:line="360" w:lineRule="auto"/>
        <w:ind w:left="720" w:hanging="720"/>
        <w:jc w:val="both"/>
        <w:divId w:val="1619486582"/>
        <w:rPr>
          <w:rFonts w:ascii="Arial" w:hAnsi="Arial" w:cs="FrankRuehl"/>
          <w:sz w:val="28"/>
          <w:szCs w:val="28"/>
          <w:rtl/>
        </w:rPr>
      </w:pPr>
    </w:p>
    <w:p w14:paraId="06EAC00B" w14:textId="77777777" w:rsidR="00827F11" w:rsidRDefault="00827F11">
      <w:pPr>
        <w:spacing w:line="360" w:lineRule="auto"/>
        <w:ind w:left="720"/>
        <w:jc w:val="both"/>
        <w:divId w:val="1619486582"/>
        <w:rPr>
          <w:rFonts w:ascii="Arial" w:hAnsi="Arial" w:cs="FrankRuehl"/>
          <w:sz w:val="28"/>
          <w:szCs w:val="28"/>
          <w:rtl/>
        </w:rPr>
      </w:pPr>
      <w:r>
        <w:rPr>
          <w:rFonts w:ascii="Arial" w:hAnsi="Arial" w:cs="FrankRuehl"/>
          <w:sz w:val="28"/>
          <w:szCs w:val="28"/>
          <w:rtl/>
        </w:rPr>
        <w:t xml:space="preserve">אוסיף ואומר, כי גם אם אתייחס באורח מילולי גרידא לציטוט שמביאה המבקשת אודות רשימת המקרים בהם תתאפשר הצצה מעבר לפרגוד (ואף אניח, דבר שאינו ברור </w:t>
      </w:r>
      <w:r>
        <w:rPr>
          <w:rFonts w:ascii="Arial" w:hAnsi="Arial" w:cs="FrankRuehl"/>
          <w:sz w:val="28"/>
          <w:szCs w:val="28"/>
          <w:rtl/>
        </w:rPr>
        <w:lastRenderedPageBreak/>
        <w:t xml:space="preserve">כלל ועיקר, כי מדובר ב"רשימה סגורה" נוקשה), הרי שמצב בו ניתן פסק-דין המבוסס על </w:t>
      </w:r>
      <w:r>
        <w:rPr>
          <w:rFonts w:ascii="Arial" w:hAnsi="Arial" w:cs="FrankRuehl"/>
          <w:b/>
          <w:bCs/>
          <w:sz w:val="28"/>
          <w:szCs w:val="28"/>
          <w:u w:val="single"/>
          <w:rtl/>
        </w:rPr>
        <w:t>הודאה והסכמה</w:t>
      </w:r>
      <w:r>
        <w:rPr>
          <w:rFonts w:ascii="Arial" w:hAnsi="Arial" w:cs="FrankRuehl"/>
          <w:sz w:val="28"/>
          <w:szCs w:val="28"/>
          <w:rtl/>
        </w:rPr>
        <w:t xml:space="preserve"> של גוף על סף חדלות פרעון, לתביעה כספית של גורם מקורב אליו באורח מובהק, וזאת בלא שהתגונן הלכה למעשה, הרי שעסקינן במקרה חד-משמעי של "חשש לעיוות דין", אותו מונה כב' השופט גרוניס ברשימה עליה מסתמכת המבקשת.</w:t>
      </w:r>
    </w:p>
    <w:p w14:paraId="76D6095C" w14:textId="77777777" w:rsidR="00827F11" w:rsidRDefault="00827F11">
      <w:pPr>
        <w:spacing w:line="360" w:lineRule="auto"/>
        <w:ind w:left="720" w:hanging="720"/>
        <w:jc w:val="both"/>
        <w:divId w:val="1619486582"/>
        <w:rPr>
          <w:rFonts w:ascii="Arial" w:hAnsi="Arial" w:cs="FrankRuehl"/>
          <w:sz w:val="28"/>
          <w:szCs w:val="28"/>
        </w:rPr>
      </w:pPr>
    </w:p>
    <w:p w14:paraId="0C320470" w14:textId="77777777" w:rsidR="00827F11" w:rsidRDefault="00827F11">
      <w:pPr>
        <w:numPr>
          <w:ilvl w:val="0"/>
          <w:numId w:val="2"/>
        </w:numPr>
        <w:spacing w:line="360" w:lineRule="auto"/>
        <w:ind w:left="720" w:hanging="720"/>
        <w:jc w:val="both"/>
        <w:divId w:val="1619486582"/>
        <w:rPr>
          <w:rFonts w:ascii="Arial" w:hAnsi="Arial" w:cs="FrankRuehl"/>
          <w:sz w:val="28"/>
          <w:szCs w:val="28"/>
        </w:rPr>
      </w:pPr>
      <w:r>
        <w:rPr>
          <w:rFonts w:ascii="Arial" w:hAnsi="Arial" w:cs="FrankRuehl"/>
          <w:sz w:val="28"/>
          <w:szCs w:val="28"/>
          <w:rtl/>
        </w:rPr>
        <w:t xml:space="preserve">סוף דבר; דין הערעור להדחות, וקיימים לכך טעמים מצויינים הן במישור הדיוני, והן במישור המהותי. בנסיבות העניין, תשא המערערת בהוצאות הנאמן ובשכר-טרחת עורך-דין, בסך 50,000 ₪ בתוספת מע"מ. הסכום דנן ישא הצמדה וריבית כדין, מהיום ועד ליום התשלום בפועל. </w:t>
      </w:r>
    </w:p>
    <w:p w14:paraId="75E0F375" w14:textId="77777777" w:rsidR="00827F11" w:rsidRDefault="00827F11">
      <w:pPr>
        <w:spacing w:line="360" w:lineRule="auto"/>
        <w:jc w:val="both"/>
        <w:divId w:val="1619486582"/>
        <w:rPr>
          <w:b/>
          <w:bCs/>
        </w:rPr>
      </w:pPr>
      <w:bookmarkStart w:id="3" w:name="Decision1"/>
    </w:p>
    <w:p w14:paraId="51E8C73D" w14:textId="77777777" w:rsidR="00827F11" w:rsidRDefault="00827F11">
      <w:pPr>
        <w:spacing w:line="360" w:lineRule="auto"/>
        <w:jc w:val="both"/>
        <w:divId w:val="1619486582"/>
        <w:rPr>
          <w:rFonts w:cs="FrankRuehl"/>
          <w:b/>
          <w:bCs/>
          <w:sz w:val="28"/>
          <w:szCs w:val="28"/>
          <w:rtl/>
        </w:rPr>
      </w:pPr>
      <w:r>
        <w:rPr>
          <w:rFonts w:cs="FrankRuehl"/>
          <w:b/>
          <w:bCs/>
          <w:sz w:val="28"/>
          <w:szCs w:val="28"/>
          <w:rtl/>
        </w:rPr>
        <w:t>ניתן היום, ב' בטבת, תשס"ט (29 בדצמבר 2008), בהעדר הצדדים.</w:t>
      </w:r>
    </w:p>
    <w:p w14:paraId="6A305330" w14:textId="77777777" w:rsidR="00827F11" w:rsidRDefault="00827F11">
      <w:pPr>
        <w:spacing w:line="360" w:lineRule="auto"/>
        <w:jc w:val="both"/>
        <w:divId w:val="1619486582"/>
        <w:rPr>
          <w:rFonts w:cs="FrankRuehl"/>
          <w:sz w:val="28"/>
          <w:szCs w:val="28"/>
          <w:rtl/>
        </w:rPr>
      </w:pPr>
      <w:r>
        <w:rPr>
          <w:rFonts w:cs="FrankRuehl"/>
          <w:sz w:val="28"/>
          <w:szCs w:val="28"/>
          <w:rtl/>
        </w:rPr>
        <w:t xml:space="preserve">                                                                                </w:t>
      </w:r>
    </w:p>
    <w:tbl>
      <w:tblPr>
        <w:bidiVisual/>
        <w:tblW w:w="0" w:type="auto"/>
        <w:tblInd w:w="6436" w:type="dxa"/>
        <w:tblBorders>
          <w:top w:val="single" w:sz="4" w:space="0" w:color="auto"/>
        </w:tblBorders>
        <w:tblLook w:val="0000" w:firstRow="0" w:lastRow="0" w:firstColumn="0" w:lastColumn="0" w:noHBand="0" w:noVBand="0"/>
      </w:tblPr>
      <w:tblGrid>
        <w:gridCol w:w="1877"/>
      </w:tblGrid>
      <w:tr w:rsidR="00827F11" w14:paraId="0DB1442E" w14:textId="77777777">
        <w:trPr>
          <w:divId w:val="1619486582"/>
        </w:trPr>
        <w:tc>
          <w:tcPr>
            <w:tcW w:w="2093" w:type="dxa"/>
            <w:tcBorders>
              <w:top w:val="single" w:sz="4" w:space="0" w:color="auto"/>
              <w:left w:val="nil"/>
              <w:bottom w:val="nil"/>
              <w:right w:val="nil"/>
            </w:tcBorders>
          </w:tcPr>
          <w:p w14:paraId="5AF44515" w14:textId="77777777" w:rsidR="00827F11" w:rsidRDefault="00827F11">
            <w:pPr>
              <w:spacing w:line="360" w:lineRule="auto"/>
              <w:jc w:val="right"/>
              <w:rPr>
                <w:rFonts w:cs="FrankRuehl"/>
                <w:b/>
                <w:bCs/>
                <w:sz w:val="28"/>
                <w:szCs w:val="28"/>
              </w:rPr>
            </w:pPr>
            <w:r>
              <w:rPr>
                <w:rFonts w:cs="FrankRuehl"/>
                <w:b/>
                <w:bCs/>
                <w:sz w:val="28"/>
                <w:szCs w:val="28"/>
                <w:rtl/>
              </w:rPr>
              <w:t>ורדה אלשיך, שופטת</w:t>
            </w:r>
          </w:p>
          <w:p w14:paraId="680B1F00" w14:textId="77777777" w:rsidR="00827F11" w:rsidRDefault="003356E8">
            <w:pPr>
              <w:spacing w:line="360" w:lineRule="auto"/>
              <w:jc w:val="center"/>
              <w:rPr>
                <w:rFonts w:cs="FrankRuehl"/>
                <w:b/>
                <w:bCs/>
                <w:sz w:val="28"/>
                <w:szCs w:val="28"/>
              </w:rPr>
            </w:pPr>
            <w:r w:rsidRPr="003356E8">
              <w:rPr>
                <w:rFonts w:cs="FrankRuehl"/>
                <w:b/>
                <w:bCs/>
                <w:color w:val="FFFFFF"/>
                <w:sz w:val="2"/>
                <w:szCs w:val="2"/>
              </w:rPr>
              <w:t>lawdata</w:t>
            </w:r>
            <w:r w:rsidRPr="003356E8">
              <w:rPr>
                <w:rFonts w:cs="FrankRuehl"/>
                <w:b/>
                <w:bCs/>
                <w:color w:val="FFFFFF"/>
                <w:sz w:val="2"/>
                <w:szCs w:val="2"/>
                <w:rtl/>
              </w:rPr>
              <w:t xml:space="preserve"> - דטהחוק</w:t>
            </w:r>
            <w:r w:rsidR="00827F11">
              <w:rPr>
                <w:rFonts w:cs="FrankRuehl"/>
                <w:b/>
                <w:bCs/>
                <w:sz w:val="28"/>
                <w:szCs w:val="28"/>
                <w:rtl/>
              </w:rPr>
              <w:t>סגנית נשיא</w:t>
            </w:r>
          </w:p>
        </w:tc>
      </w:tr>
    </w:tbl>
    <w:p w14:paraId="649151E1" w14:textId="77777777" w:rsidR="00827F11" w:rsidRDefault="00827F11">
      <w:pPr>
        <w:spacing w:line="360" w:lineRule="auto"/>
        <w:jc w:val="both"/>
        <w:divId w:val="1619486582"/>
        <w:rPr>
          <w:rFonts w:cs="FrankRuehl"/>
          <w:sz w:val="16"/>
          <w:szCs w:val="16"/>
          <w:rtl/>
        </w:rPr>
      </w:pPr>
      <w:r>
        <w:rPr>
          <w:rFonts w:cs="FrankRuehl"/>
          <w:sz w:val="16"/>
          <w:szCs w:val="16"/>
          <w:rtl/>
        </w:rPr>
        <w:t>תפארת</w:t>
      </w:r>
      <w:bookmarkEnd w:id="3"/>
    </w:p>
    <w:sectPr w:rsidR="00827F11">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pgMar w:top="2268" w:right="1797" w:bottom="1440" w:left="1797" w:header="720" w:footer="720" w:gutter="0"/>
      <w:lnNumType w:countBy="1"/>
      <w:pgNumType w:start="1"/>
      <w:cols w:space="708"/>
      <w:formProt w:val="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FA5B" w14:textId="77777777" w:rsidR="00DD73AC" w:rsidRDefault="00DD73AC">
      <w:r>
        <w:separator/>
      </w:r>
    </w:p>
  </w:endnote>
  <w:endnote w:type="continuationSeparator" w:id="0">
    <w:p w14:paraId="7728175A" w14:textId="77777777" w:rsidR="00DD73AC" w:rsidRDefault="00DD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700C" w14:textId="77777777" w:rsidR="003356E8" w:rsidRDefault="003356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D667" w14:textId="77777777" w:rsidR="003356E8" w:rsidRPr="003356E8" w:rsidRDefault="003356E8" w:rsidP="003356E8">
    <w:pPr>
      <w:pStyle w:val="a5"/>
      <w:pBdr>
        <w:top w:val="single" w:sz="4" w:space="1" w:color="auto"/>
        <w:bottom w:val="single" w:sz="4" w:space="1" w:color="auto"/>
      </w:pBdr>
      <w:spacing w:line="240" w:lineRule="auto"/>
      <w:jc w:val="center"/>
      <w:rPr>
        <w:rFonts w:ascii="David" w:hAnsi="David"/>
        <w:sz w:val="24"/>
      </w:rPr>
    </w:pPr>
    <w:r>
      <w:rPr>
        <w:rFonts w:ascii="David" w:hAnsi="David"/>
        <w:sz w:val="24"/>
        <w:rtl/>
      </w:rPr>
      <w:t xml:space="preserve">דטה חוק ומשפט - </w:t>
    </w:r>
    <w:r>
      <w:rPr>
        <w:rFonts w:ascii="David" w:hAnsi="David"/>
        <w:sz w:val="24"/>
      </w:rPr>
      <w:t>www.lawdata.co.il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3155" w14:textId="77777777" w:rsidR="003356E8" w:rsidRDefault="00335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E62B" w14:textId="77777777" w:rsidR="00DD73AC" w:rsidRDefault="00DD73AC">
      <w:r>
        <w:separator/>
      </w:r>
    </w:p>
  </w:footnote>
  <w:footnote w:type="continuationSeparator" w:id="0">
    <w:p w14:paraId="4776F747" w14:textId="77777777" w:rsidR="00DD73AC" w:rsidRDefault="00DD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BC3F" w14:textId="77777777" w:rsidR="003356E8" w:rsidRDefault="003356E8" w:rsidP="00F36F6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74B9275" w14:textId="77777777" w:rsidR="003356E8" w:rsidRDefault="003356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A326" w14:textId="77777777" w:rsidR="003356E8" w:rsidRDefault="003356E8" w:rsidP="00F36F6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tl/>
      </w:rPr>
      <w:t>1</w:t>
    </w:r>
    <w:r>
      <w:rPr>
        <w:rStyle w:val="ab"/>
      </w:rPr>
      <w:fldChar w:fldCharType="end"/>
    </w:r>
  </w:p>
  <w:p w14:paraId="2FB8A1AD" w14:textId="77777777" w:rsidR="003356E8" w:rsidRDefault="003356E8" w:rsidP="003356E8">
    <w:pPr>
      <w:pStyle w:val="a3"/>
      <w:pBdr>
        <w:bottom w:val="single" w:sz="4" w:space="1" w:color="auto"/>
      </w:pBdr>
      <w:spacing w:line="240" w:lineRule="auto"/>
      <w:jc w:val="center"/>
      <w:rPr>
        <w:rFonts w:ascii="David" w:hAnsi="David"/>
        <w:sz w:val="22"/>
        <w:szCs w:val="22"/>
        <w:rtl/>
      </w:rPr>
    </w:pPr>
  </w:p>
  <w:p w14:paraId="591F3E84" w14:textId="77777777" w:rsidR="003356E8" w:rsidRDefault="003356E8" w:rsidP="003356E8">
    <w:pPr>
      <w:pStyle w:val="a3"/>
      <w:pBdr>
        <w:bottom w:val="single" w:sz="4" w:space="1" w:color="auto"/>
      </w:pBdr>
      <w:spacing w:line="240" w:lineRule="auto"/>
      <w:jc w:val="center"/>
      <w:rPr>
        <w:rFonts w:ascii="David" w:hAnsi="David"/>
        <w:sz w:val="22"/>
        <w:szCs w:val="22"/>
        <w:rtl/>
      </w:rPr>
    </w:pPr>
  </w:p>
  <w:p w14:paraId="1EAE3189" w14:textId="77777777" w:rsidR="003356E8" w:rsidRPr="003356E8" w:rsidRDefault="003356E8" w:rsidP="003356E8">
    <w:pPr>
      <w:pStyle w:val="a3"/>
      <w:pBdr>
        <w:bottom w:val="single" w:sz="4" w:space="1" w:color="auto"/>
      </w:pBdr>
      <w:spacing w:line="240" w:lineRule="auto"/>
      <w:jc w:val="center"/>
      <w:rPr>
        <w:rFonts w:ascii="David" w:hAnsi="David"/>
        <w:sz w:val="22"/>
        <w:szCs w:val="22"/>
      </w:rPr>
    </w:pPr>
    <w:r>
      <w:rPr>
        <w:rFonts w:ascii="David" w:hAnsi="David"/>
        <w:sz w:val="22"/>
        <w:szCs w:val="22"/>
        <w:rtl/>
      </w:rPr>
      <w:t>פשר (תל אביב) 2211/03  ***  כדור האור נ' עו"ד עומר גדיש, כונס הנכסים הרשמי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D4F06" w14:textId="77777777" w:rsidR="003356E8" w:rsidRDefault="003356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719C0"/>
    <w:multiLevelType w:val="hybridMultilevel"/>
    <w:tmpl w:val="BB845AF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QuoteMode" w:val="???? ?-Normal"/>
  </w:docVars>
  <w:rsids>
    <w:rsidRoot w:val="00827F11"/>
    <w:rsid w:val="00291596"/>
    <w:rsid w:val="003356E8"/>
    <w:rsid w:val="00827F11"/>
    <w:rsid w:val="00DD73AC"/>
    <w:rsid w:val="00F3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DFA17"/>
  <w14:defaultImageDpi w14:val="0"/>
  <w15:docId w15:val="{D99FEDB5-703B-4526-BA3A-11064C56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napToGrid w:val="0"/>
      <w:spacing w:after="0" w:line="240" w:lineRule="auto"/>
    </w:pPr>
    <w:rPr>
      <w:rFonts w:cs="David"/>
      <w:sz w:val="20"/>
      <w:szCs w:val="24"/>
    </w:rPr>
  </w:style>
  <w:style w:type="paragraph" w:styleId="1">
    <w:name w:val="heading 1"/>
    <w:basedOn w:val="a"/>
    <w:next w:val="a"/>
    <w:link w:val="10"/>
    <w:uiPriority w:val="99"/>
    <w:qFormat/>
    <w:pPr>
      <w:keepNext/>
      <w:snapToGrid/>
      <w:spacing w:line="360" w:lineRule="auto"/>
      <w:jc w:val="center"/>
      <w:outlineLvl w:val="0"/>
    </w:pPr>
    <w:rPr>
      <w:b/>
      <w:bCs/>
      <w:sz w:val="32"/>
      <w:szCs w:val="32"/>
      <w:u w:val="single"/>
    </w:rPr>
  </w:style>
  <w:style w:type="paragraph" w:styleId="2">
    <w:name w:val="heading 2"/>
    <w:basedOn w:val="a"/>
    <w:link w:val="20"/>
    <w:uiPriority w:val="99"/>
    <w:qFormat/>
    <w:pPr>
      <w:bidi w:val="0"/>
      <w:snapToGrid/>
      <w:spacing w:before="100" w:beforeAutospacing="1" w:after="100" w:afterAutospacing="1"/>
      <w:outlineLvl w:val="1"/>
    </w:pPr>
    <w:rPr>
      <w:rFonts w:cs="Times New Roman"/>
      <w:sz w:val="24"/>
    </w:rPr>
  </w:style>
  <w:style w:type="paragraph" w:styleId="3">
    <w:name w:val="heading 3"/>
    <w:basedOn w:val="a"/>
    <w:next w:val="a"/>
    <w:link w:val="30"/>
    <w:uiPriority w:val="99"/>
    <w:qFormat/>
    <w:pPr>
      <w:keepNext/>
      <w:snapToGrid/>
      <w:spacing w:line="360" w:lineRule="auto"/>
      <w:jc w:val="both"/>
      <w:outlineLvl w:val="2"/>
    </w:pPr>
    <w:rPr>
      <w:b/>
      <w:bCs/>
    </w:rPr>
  </w:style>
  <w:style w:type="paragraph" w:styleId="4">
    <w:name w:val="heading 4"/>
    <w:basedOn w:val="a"/>
    <w:next w:val="a"/>
    <w:link w:val="40"/>
    <w:uiPriority w:val="99"/>
    <w:qFormat/>
    <w:pPr>
      <w:keepNext/>
      <w:snapToGrid/>
      <w:spacing w:line="360" w:lineRule="auto"/>
      <w:jc w:val="center"/>
      <w:outlineLvl w:val="3"/>
    </w:pPr>
    <w:rPr>
      <w:rFonts w:cs="FrankRuehl"/>
      <w:b/>
      <w:bCs/>
      <w:sz w:val="36"/>
      <w:szCs w:val="36"/>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sz w:val="28"/>
      <w:szCs w:val="28"/>
    </w:rPr>
  </w:style>
  <w:style w:type="paragraph" w:styleId="a3">
    <w:name w:val="header"/>
    <w:basedOn w:val="a"/>
    <w:link w:val="a4"/>
    <w:uiPriority w:val="99"/>
    <w:pPr>
      <w:tabs>
        <w:tab w:val="center" w:pos="4153"/>
        <w:tab w:val="right" w:pos="8306"/>
      </w:tabs>
      <w:spacing w:line="360" w:lineRule="auto"/>
      <w:jc w:val="both"/>
    </w:pPr>
  </w:style>
  <w:style w:type="character" w:customStyle="1" w:styleId="a4">
    <w:name w:val="כותרת עליונה תו"/>
    <w:basedOn w:val="a0"/>
    <w:link w:val="a3"/>
    <w:uiPriority w:val="99"/>
    <w:semiHidden/>
    <w:rPr>
      <w:rFonts w:cs="David"/>
      <w:sz w:val="20"/>
      <w:szCs w:val="24"/>
    </w:rPr>
  </w:style>
  <w:style w:type="paragraph" w:styleId="a5">
    <w:name w:val="footer"/>
    <w:basedOn w:val="a"/>
    <w:link w:val="a6"/>
    <w:uiPriority w:val="99"/>
    <w:pPr>
      <w:tabs>
        <w:tab w:val="center" w:pos="4153"/>
        <w:tab w:val="right" w:pos="8306"/>
      </w:tabs>
      <w:spacing w:line="360" w:lineRule="auto"/>
      <w:jc w:val="both"/>
    </w:pPr>
    <w:rPr>
      <w:sz w:val="22"/>
    </w:rPr>
  </w:style>
  <w:style w:type="character" w:customStyle="1" w:styleId="a6">
    <w:name w:val="כותרת תחתונה תו"/>
    <w:basedOn w:val="a0"/>
    <w:link w:val="a5"/>
    <w:uiPriority w:val="99"/>
    <w:semiHidden/>
    <w:rPr>
      <w:rFonts w:cs="David"/>
      <w:sz w:val="20"/>
      <w:szCs w:val="24"/>
    </w:rPr>
  </w:style>
  <w:style w:type="paragraph" w:customStyle="1" w:styleId="a7">
    <w:name w:val="שמות"/>
    <w:basedOn w:val="a"/>
    <w:uiPriority w:val="99"/>
    <w:pPr>
      <w:suppressLineNumbers/>
      <w:spacing w:line="360" w:lineRule="auto"/>
      <w:jc w:val="both"/>
    </w:pPr>
    <w:rPr>
      <w:b/>
      <w:bCs/>
      <w:sz w:val="22"/>
    </w:rPr>
  </w:style>
  <w:style w:type="paragraph" w:styleId="a8">
    <w:name w:val="List Paragraph"/>
    <w:basedOn w:val="a"/>
    <w:uiPriority w:val="99"/>
    <w:qFormat/>
    <w:pPr>
      <w:snapToGrid/>
      <w:spacing w:after="200" w:line="276" w:lineRule="auto"/>
      <w:ind w:left="720"/>
    </w:pPr>
    <w:rPr>
      <w:rFonts w:ascii="Calibri" w:hAnsi="Calibri" w:cs="Arial"/>
      <w:sz w:val="22"/>
      <w:szCs w:val="22"/>
    </w:rPr>
  </w:style>
  <w:style w:type="paragraph" w:customStyle="1" w:styleId="a9">
    <w:name w:val="החלטה"/>
    <w:basedOn w:val="a"/>
    <w:uiPriority w:val="99"/>
    <w:pPr>
      <w:suppressLineNumbers/>
    </w:pPr>
    <w:rPr>
      <w:bCs/>
    </w:rPr>
  </w:style>
  <w:style w:type="paragraph" w:customStyle="1" w:styleId="aa">
    <w:name w:val="חקירה"/>
    <w:basedOn w:val="a"/>
    <w:uiPriority w:val="99"/>
    <w:pPr>
      <w:suppressLineNumbers/>
    </w:pPr>
  </w:style>
  <w:style w:type="character" w:styleId="ab">
    <w:name w:val="page number"/>
    <w:basedOn w:val="a0"/>
    <w:uiPriority w:val="99"/>
    <w:rPr>
      <w:rFonts w:cs="David"/>
      <w:lang w:bidi="he-IL"/>
    </w:rPr>
  </w:style>
  <w:style w:type="paragraph" w:styleId="ac">
    <w:name w:val="Signature"/>
    <w:basedOn w:val="2"/>
    <w:link w:val="ad"/>
    <w:uiPriority w:val="99"/>
    <w:pPr>
      <w:keepNext/>
      <w:suppressLineNumbers/>
      <w:bidi/>
      <w:snapToGrid w:val="0"/>
      <w:spacing w:before="240" w:beforeAutospacing="0" w:after="60" w:afterAutospacing="0" w:line="360" w:lineRule="auto"/>
      <w:jc w:val="center"/>
    </w:pPr>
    <w:rPr>
      <w:rFonts w:ascii="Arial" w:hAnsi="Arial" w:cs="David"/>
      <w:b/>
      <w:u w:val="single"/>
    </w:rPr>
  </w:style>
  <w:style w:type="character" w:customStyle="1" w:styleId="ad">
    <w:name w:val="חתימה תו"/>
    <w:basedOn w:val="a0"/>
    <w:link w:val="ac"/>
    <w:uiPriority w:val="99"/>
    <w:semiHidden/>
    <w:rPr>
      <w:rFonts w:cs="David"/>
      <w:sz w:val="20"/>
      <w:szCs w:val="24"/>
    </w:rPr>
  </w:style>
  <w:style w:type="character" w:styleId="ae">
    <w:name w:val="line number"/>
    <w:basedOn w:val="a0"/>
    <w:uiPriority w:val="99"/>
    <w:semiHidden/>
    <w:unhideWhenUsed/>
    <w:rsid w:val="0029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86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7152</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בעניין:</vt:lpstr>
    </vt:vector>
  </TitlesOfParts>
  <Company>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בעניין:</dc:title>
  <dc:subject/>
  <dc:creator>Law Data</dc:creator>
  <cp:keywords/>
  <dc:description/>
  <cp:lastModifiedBy>משתמש</cp:lastModifiedBy>
  <cp:revision>2</cp:revision>
  <dcterms:created xsi:type="dcterms:W3CDTF">2019-07-15T08:11:00Z</dcterms:created>
  <dcterms:modified xsi:type="dcterms:W3CDTF">2019-07-15T08:11:00Z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Server">
    <vt:lpwstr>CN=TLV-Mehozi-01/OU=TelAviv/OU=Server/O=Courts</vt:lpwstr>
  </property>
  <property fmtid="{D5CDD505-2E9C-101B-9397-08002B2CF9AE}" pid="3" name="DBPath">
    <vt:lpwstr>Prod\EsDynamic.nsf</vt:lpwstr>
  </property>
  <property fmtid="{D5CDD505-2E9C-101B-9397-08002B2CF9AE}" pid="4" name="DocCloseCancel">
    <vt:bool>false</vt:bool>
  </property>
  <property fmtid="{D5CDD505-2E9C-101B-9397-08002B2CF9AE}" pid="5" name="NameForLog">
    <vt:lpwstr>פשר002211/03</vt:lpwstr>
  </property>
  <property fmtid="{D5CDD505-2E9C-101B-9397-08002B2CF9AE}" pid="6" name="decisionsNumber">
    <vt:i4>1</vt:i4>
  </property>
  <property fmtid="{D5CDD505-2E9C-101B-9397-08002B2CF9AE}" pid="7" name="NotesDocForm">
    <vt:lpwstr>frmDocument</vt:lpwstr>
  </property>
  <property fmtid="{D5CDD505-2E9C-101B-9397-08002B2CF9AE}" pid="8" name="NotesDocStatus">
    <vt:lpwstr>2</vt:lpwstr>
  </property>
</Properties>
</file>